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7D12" w14:textId="45F0F0DD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477941C4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631434AF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445D4AC" w14:textId="2E9E4FC6" w:rsidR="002A5E8A" w:rsidRPr="00570777" w:rsidRDefault="005F5CB9" w:rsidP="00570777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>ACTIONABLE</w:t>
      </w:r>
      <w:r w:rsidR="00DC09F1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DA040E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DA040E" w:rsidRPr="004A04A1">
        <w:rPr>
          <w:rFonts w:ascii="Courier New" w:hAnsi="Courier New" w:cs="Courier New"/>
          <w:color w:val="FF0000"/>
        </w:rPr>
        <w:fldChar w:fldCharType="begin"/>
      </w:r>
      <w:r w:rsidR="00DA040E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DA040E" w:rsidRPr="004A04A1">
        <w:rPr>
          <w:rFonts w:ascii="Courier New" w:hAnsi="Courier New" w:cs="Courier New"/>
          <w:color w:val="FF0000"/>
        </w:rPr>
        <w:fldChar w:fldCharType="separate"/>
      </w:r>
      <w:r w:rsidR="00DA040E">
        <w:rPr>
          <w:rFonts w:ascii="Courier New" w:hAnsi="Courier New" w:cs="Courier New"/>
          <w:noProof/>
          <w:color w:val="FF0000"/>
        </w:rPr>
        <w:t>«isdraft»</w:t>
      </w:r>
      <w:r w:rsidR="00DA040E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754E2AD9" w14:textId="77777777" w:rsidR="00DC09F1" w:rsidRPr="00881C76" w:rsidRDefault="00DC09F1" w:rsidP="00DC09F1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  <w:r>
        <w:rPr>
          <w:rFonts w:ascii="Arial" w:eastAsia="Times New Roman" w:hAnsi="Arial"/>
          <w:b/>
          <w:sz w:val="22"/>
          <w:szCs w:val="20"/>
          <w:lang w:val="en-AU"/>
        </w:rPr>
        <w:t>Clinical Details</w:t>
      </w:r>
    </w:p>
    <w:p w14:paraId="31E15A17" w14:textId="77777777" w:rsidR="00570777" w:rsidRPr="00A6052B" w:rsidRDefault="00570777" w:rsidP="00570777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A6052B">
        <w:rPr>
          <w:rFonts w:ascii="Arial" w:eastAsia="Times New Roman" w:hAnsi="Arial"/>
          <w:sz w:val="18"/>
          <w:szCs w:val="18"/>
          <w:lang w:val="en-AU"/>
        </w:rPr>
        <w:t xml:space="preserve">Histological typing: </w:t>
      </w:r>
      <w:r w:rsidRPr="00A6052B">
        <w:rPr>
          <w:rFonts w:ascii="Arial" w:eastAsia="Times New Roman" w:hAnsi="Arial"/>
          <w:sz w:val="18"/>
          <w:szCs w:val="18"/>
          <w:highlight w:val="yellow"/>
          <w:lang w:val="en-AU"/>
        </w:rPr>
        <w:t>...........................</w:t>
      </w:r>
    </w:p>
    <w:p w14:paraId="2D49EA44" w14:textId="77777777" w:rsidR="00570777" w:rsidRPr="00A6052B" w:rsidRDefault="00570777" w:rsidP="00570777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A6052B">
        <w:rPr>
          <w:rFonts w:ascii="Arial" w:eastAsia="Times New Roman" w:hAnsi="Arial"/>
          <w:sz w:val="18"/>
          <w:szCs w:val="18"/>
          <w:lang w:val="en-AU"/>
        </w:rPr>
        <w:t xml:space="preserve">The sample was reviewed by a pathologist and was considered to have </w:t>
      </w:r>
      <w:r w:rsidRPr="00A6052B">
        <w:rPr>
          <w:rFonts w:ascii="Arial" w:eastAsia="Times New Roman" w:hAnsi="Arial"/>
          <w:sz w:val="18"/>
          <w:szCs w:val="18"/>
          <w:highlight w:val="yellow"/>
          <w:lang w:val="en-AU"/>
        </w:rPr>
        <w:t>....</w:t>
      </w:r>
      <w:r w:rsidRPr="00A6052B">
        <w:rPr>
          <w:rFonts w:ascii="Arial" w:eastAsia="Times New Roman" w:hAnsi="Arial"/>
          <w:sz w:val="18"/>
          <w:szCs w:val="18"/>
          <w:lang w:val="en-AU"/>
        </w:rPr>
        <w:t>% tumour cells within the area selected for analysis. Please note: This is not a formal pathology review and is based solely on an H&amp;E of the tissue provided and not on ancillary clinical or pathology information that may be available elsewhere.</w:t>
      </w:r>
    </w:p>
    <w:p w14:paraId="15FCB5A2" w14:textId="77777777" w:rsidR="0034282D" w:rsidRPr="00607735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p w14:paraId="0D97838B" w14:textId="613BEFA5" w:rsidR="00E247C1" w:rsidRPr="00E53634" w:rsidRDefault="00E53634" w:rsidP="00D40B6B">
      <w:pPr>
        <w:rPr>
          <w:rFonts w:ascii="Arial" w:hAnsi="Arial" w:cs="Arial"/>
          <w:b/>
          <w:sz w:val="18"/>
          <w:szCs w:val="16"/>
        </w:rPr>
      </w:pPr>
      <w:r w:rsidRPr="00E53634">
        <w:rPr>
          <w:rFonts w:ascii="Arial" w:hAnsi="Arial" w:cs="Arial"/>
          <w:b/>
          <w:sz w:val="18"/>
          <w:szCs w:val="16"/>
        </w:rPr>
        <w:t>No mutations detected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353EED74" w14:textId="613BA4DF" w:rsidR="00E53634" w:rsidRDefault="00E53634" w:rsidP="003F6432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E61C7D">
        <w:rPr>
          <w:rFonts w:ascii="Arial" w:eastAsia="Times New Roman" w:hAnsi="Arial"/>
          <w:sz w:val="18"/>
          <w:szCs w:val="18"/>
          <w:lang w:val="en-AU"/>
        </w:rPr>
        <w:t xml:space="preserve">A negative result in this assay </w:t>
      </w:r>
      <w:r>
        <w:rPr>
          <w:rFonts w:ascii="Arial" w:eastAsia="Times New Roman" w:hAnsi="Arial"/>
          <w:sz w:val="18"/>
          <w:szCs w:val="18"/>
          <w:lang w:val="en-AU"/>
        </w:rPr>
        <w:t>may reflect</w:t>
      </w:r>
      <w:r w:rsidRPr="00E61C7D">
        <w:rPr>
          <w:rFonts w:ascii="Arial" w:eastAsia="Times New Roman" w:hAnsi="Arial"/>
          <w:sz w:val="18"/>
          <w:szCs w:val="18"/>
          <w:lang w:val="en-AU"/>
        </w:rPr>
        <w:t xml:space="preserve"> the limited sensitivity of the </w:t>
      </w:r>
      <w:r>
        <w:rPr>
          <w:rFonts w:ascii="Arial" w:eastAsia="Times New Roman" w:hAnsi="Arial"/>
          <w:sz w:val="18"/>
          <w:szCs w:val="18"/>
          <w:lang w:val="en-AU"/>
        </w:rPr>
        <w:t>p</w:t>
      </w:r>
      <w:r w:rsidRPr="00E61C7D">
        <w:rPr>
          <w:rFonts w:ascii="Arial" w:eastAsia="Times New Roman" w:hAnsi="Arial"/>
          <w:sz w:val="18"/>
          <w:szCs w:val="18"/>
          <w:lang w:val="en-AU"/>
        </w:rPr>
        <w:t xml:space="preserve">anel to </w:t>
      </w:r>
      <w:r>
        <w:rPr>
          <w:rFonts w:ascii="Arial" w:eastAsia="Times New Roman" w:hAnsi="Arial"/>
          <w:sz w:val="18"/>
          <w:szCs w:val="18"/>
          <w:lang w:val="en-AU"/>
        </w:rPr>
        <w:t xml:space="preserve">the rare </w:t>
      </w:r>
      <w:r w:rsidRPr="00E61C7D">
        <w:rPr>
          <w:rFonts w:ascii="Arial" w:eastAsia="Times New Roman" w:hAnsi="Arial"/>
          <w:sz w:val="18"/>
          <w:szCs w:val="18"/>
          <w:lang w:val="en-AU"/>
        </w:rPr>
        <w:t xml:space="preserve">genomic changes associated with </w:t>
      </w:r>
      <w:r>
        <w:rPr>
          <w:rFonts w:ascii="Arial" w:eastAsia="Times New Roman" w:hAnsi="Arial"/>
          <w:sz w:val="18"/>
          <w:szCs w:val="18"/>
          <w:lang w:val="en-AU"/>
        </w:rPr>
        <w:t>many cancers</w:t>
      </w:r>
      <w:r w:rsidRPr="00E61C7D">
        <w:rPr>
          <w:rFonts w:ascii="Arial" w:eastAsia="Times New Roman" w:hAnsi="Arial"/>
          <w:sz w:val="18"/>
          <w:szCs w:val="18"/>
          <w:lang w:val="en-AU"/>
        </w:rPr>
        <w:t>.</w:t>
      </w:r>
      <w:r>
        <w:rPr>
          <w:rFonts w:ascii="Arial" w:eastAsia="Times New Roman" w:hAnsi="Arial"/>
          <w:sz w:val="18"/>
          <w:szCs w:val="18"/>
          <w:lang w:val="en-AU"/>
        </w:rPr>
        <w:t xml:space="preserve"> Further testing is often possible using more comprehensive panels. Please contact the laboratory if this is required.</w:t>
      </w:r>
    </w:p>
    <w:p w14:paraId="469AEC98" w14:textId="4A2849E4" w:rsidR="003F6432" w:rsidRDefault="003F6432" w:rsidP="003F6432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Methods</w:t>
      </w:r>
    </w:p>
    <w:p w14:paraId="1DB625D0" w14:textId="37D724C5" w:rsidR="00DC09F1" w:rsidRPr="001A3347" w:rsidRDefault="005F5CB9" w:rsidP="005F5CB9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Tumour DNA was tested in duplicate for mutations in 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targeted exons of the following genes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using massively parallel sequencing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: AKT1,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ALK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BRAF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CDKN2A,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EGFR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FGFR1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FGFR2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FGFR3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ERBB2,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KIT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KRAS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NRAS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PDGFRA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PIK3CA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PTEN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 and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TP53. This test detects single nucleotide variants and indels in the target exons only. At 1000x coverage, the limit of detection of this assay has been determined to be </w:t>
      </w:r>
      <w:r w:rsidRPr="005F5CB9">
        <w:rPr>
          <w:rFonts w:ascii="Arial" w:hAnsi="Arial" w:cs="Arial"/>
          <w:noProof/>
          <w:sz w:val="18"/>
          <w:szCs w:val="18"/>
          <w:highlight w:val="yellow"/>
          <w:lang w:val="ru-RU"/>
        </w:rPr>
        <w:t>X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%. At 500x coverage the limit of detection has been determined to be </w:t>
      </w:r>
      <w:r w:rsidRPr="00F146F0">
        <w:rPr>
          <w:rFonts w:ascii="Arial" w:hAnsi="Arial" w:cs="Arial"/>
          <w:noProof/>
          <w:sz w:val="18"/>
          <w:szCs w:val="18"/>
          <w:highlight w:val="yellow"/>
          <w:lang w:val="ru-RU"/>
        </w:rPr>
        <w:t>X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%. The sample was sequ</w:t>
      </w:r>
      <w:r w:rsidR="00D51BAA">
        <w:rPr>
          <w:rFonts w:ascii="Arial" w:hAnsi="Arial" w:cs="Arial"/>
          <w:noProof/>
          <w:sz w:val="18"/>
          <w:szCs w:val="18"/>
          <w:lang w:val="ru-RU"/>
        </w:rPr>
        <w:t xml:space="preserve">enced to an average </w:t>
      </w:r>
      <w:r w:rsidR="00D51BAA"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 w:rsidR="00D51BAA"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="00D51BAA"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="00D51BAA"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 w:rsidR="00D51BAA"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="00D51BAA" w:rsidRPr="00786186">
        <w:rPr>
          <w:rFonts w:ascii="Arial" w:hAnsi="Arial" w:cs="Arial"/>
          <w:noProof/>
          <w:sz w:val="18"/>
          <w:szCs w:val="18"/>
        </w:rPr>
        <w:fldChar w:fldCharType="end"/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 aligned re</w:t>
      </w:r>
      <w:r w:rsidR="00D51BAA">
        <w:rPr>
          <w:rFonts w:ascii="Arial" w:hAnsi="Arial" w:cs="Arial"/>
          <w:noProof/>
          <w:sz w:val="18"/>
          <w:szCs w:val="18"/>
          <w:lang w:val="ru-RU"/>
        </w:rPr>
        <w:t xml:space="preserve">ads per amplicon with </w:t>
      </w:r>
      <w:r w:rsidR="00D51BAA"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 w:rsidR="00D51BAA"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</w:instrText>
      </w:r>
      <w:r w:rsidR="00D51BAA"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="00D51BAA"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 w:rsidR="00D51BAA"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="00D51BAA" w:rsidRPr="00786186">
        <w:rPr>
          <w:rFonts w:ascii="Arial" w:hAnsi="Arial" w:cs="Arial"/>
          <w:noProof/>
          <w:sz w:val="18"/>
          <w:szCs w:val="18"/>
        </w:rPr>
        <w:fldChar w:fldCharType="end"/>
      </w:r>
      <w:r w:rsidR="00D51BAA">
        <w:rPr>
          <w:rFonts w:ascii="Arial" w:hAnsi="Arial" w:cs="Arial"/>
          <w:noProof/>
          <w:sz w:val="18"/>
          <w:szCs w:val="18"/>
        </w:rPr>
        <w:t xml:space="preserve"> %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 uniformity. Regions with less than 100x coverage have not been analysed. These are listed below.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6D526D34" w14:textId="15C242ED" w:rsidR="00E53634" w:rsidRPr="00D51BAA" w:rsidRDefault="00E53634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D51BAA">
        <w:rPr>
          <w:rFonts w:ascii="Arial" w:eastAsia="Times New Roman" w:hAnsi="Arial" w:cs="Arial"/>
          <w:sz w:val="18"/>
          <w:szCs w:val="18"/>
          <w:lang w:val="en-AU"/>
        </w:rPr>
        <w:t>Processed DNA is assayed for concentration, purity and fragmentation status prior to massively parallel sequencing. Samples determined to be not capable of generating a representative amplicon library may be analysed by alternate methods.</w:t>
      </w:r>
    </w:p>
    <w:p w14:paraId="6228649F" w14:textId="77777777" w:rsidR="00E53634" w:rsidRPr="00D51BAA" w:rsidRDefault="00E53634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D51BAA">
        <w:rPr>
          <w:rFonts w:ascii="Arial" w:eastAsia="Times New Roman" w:hAnsi="Arial" w:cs="Arial"/>
          <w:sz w:val="18"/>
          <w:szCs w:val="18"/>
          <w:lang w:val="en-AU"/>
        </w:rPr>
        <w:t>Testing of tissue treated with chemo and/or radiotherapy reduces the cellularity of the neoplastic element and reduces the sensitivity of the assay. Where possible tissue derived from untreated tumour should be tested.</w:t>
      </w:r>
    </w:p>
    <w:p w14:paraId="3B1A398C" w14:textId="42A9208C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>Please contact the laboratory on 03 9656 3595 if you wish to discuss this report further.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  <w:r w:rsidRPr="00CF7F03">
        <w:rPr>
          <w:rFonts w:ascii="Arial" w:eastAsia="Times New Roman" w:hAnsi="Arial"/>
          <w:sz w:val="18"/>
          <w:szCs w:val="18"/>
          <w:lang w:val="en-AU"/>
        </w:rPr>
        <w:t>Dr A Fellowes, Scientist in Charge Molecular Pathology Diagnostic Development</w:t>
      </w:r>
    </w:p>
    <w:p w14:paraId="160E3D30" w14:textId="5C6CB77B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  <w:t>Prof Ste</w:t>
      </w:r>
      <w:r w:rsidR="003D35E2">
        <w:rPr>
          <w:rFonts w:ascii="Arial" w:eastAsia="Times New Roman" w:hAnsi="Arial"/>
          <w:sz w:val="18"/>
          <w:szCs w:val="18"/>
          <w:lang w:val="en-AU"/>
        </w:rPr>
        <w:t>phen Fox, Director of Pathology</w:t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DA040E">
        <w:rPr>
          <w:rFonts w:ascii="Arial" w:eastAsia="Times New Roman" w:hAnsi="Arial"/>
          <w:noProof/>
          <w:sz w:val="18"/>
          <w:szCs w:val="18"/>
          <w:lang w:val="en-AU"/>
        </w:rPr>
        <w:t>28-Nov-2014 10:09 am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087EEF9" w14:textId="77777777" w:rsidR="00EE7BC2" w:rsidRDefault="00EE7BC2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5904F4B4" w14:textId="77777777" w:rsidR="00A16AFC" w:rsidRDefault="00A16AFC" w:rsidP="00A16AFC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Regions of interest coverage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55D7F5FE" w14:textId="7B1D81A5" w:rsidR="00A16AFC" w:rsidRDefault="00A16AFC" w:rsidP="00A16AFC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</w:instrText>
      </w:r>
      <w:r>
        <w:rPr>
          <w:rFonts w:ascii="Arial" w:eastAsia="Times New Roman" w:hAnsi="Arial"/>
          <w:sz w:val="18"/>
          <w:szCs w:val="18"/>
          <w:lang w:val="en-AU"/>
        </w:rPr>
        <w:instrText>roi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>
        <w:rPr>
          <w:rFonts w:ascii="Arial" w:eastAsia="Times New Roman" w:hAnsi="Arial"/>
          <w:noProof/>
          <w:sz w:val="18"/>
          <w:szCs w:val="18"/>
          <w:lang w:val="en-AU"/>
        </w:rPr>
        <w:t>«rois»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7DDD5117" w14:textId="7339E515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References:</w:t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1CB30ED1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3F6432">
      <w:headerReference w:type="default" r:id="rId9"/>
      <w:footerReference w:type="even" r:id="rId10"/>
      <w:footerReference w:type="default" r:id="rId11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55685E" w:rsidRDefault="0055685E" w:rsidP="00607735">
      <w:r>
        <w:separator/>
      </w:r>
    </w:p>
  </w:endnote>
  <w:endnote w:type="continuationSeparator" w:id="0">
    <w:p w14:paraId="418D9DBB" w14:textId="77777777" w:rsidR="0055685E" w:rsidRDefault="0055685E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55685E" w:rsidRDefault="0055685E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55685E" w:rsidRDefault="0055685E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55685E" w:rsidRPr="005435AD" w:rsidRDefault="0055685E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DA040E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DA040E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10ECD33F" w:rsidR="0055685E" w:rsidRPr="003E1B53" w:rsidRDefault="0055685E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Pr="003E1B53">
      <w:rPr>
        <w:rFonts w:ascii="Arial" w:hAnsi="Arial"/>
        <w:i/>
        <w:color w:val="808080"/>
        <w:sz w:val="18"/>
      </w:rPr>
      <w:tab/>
    </w:r>
    <w:r w:rsidR="00503104">
      <w:rPr>
        <w:rFonts w:ascii="Arial" w:hAnsi="Arial"/>
        <w:i/>
        <w:color w:val="808080"/>
        <w:sz w:val="18"/>
      </w:rPr>
      <w:t>Actionable</w:t>
    </w:r>
    <w:r w:rsidRPr="003E1B53">
      <w:rPr>
        <w:rFonts w:ascii="Arial" w:hAnsi="Arial"/>
        <w:i/>
        <w:color w:val="808080"/>
        <w:sz w:val="18"/>
      </w:rPr>
      <w:t xml:space="preserve"> 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DA040E">
      <w:rPr>
        <w:rFonts w:ascii="Arial" w:hAnsi="Arial"/>
        <w:i/>
        <w:noProof/>
        <w:color w:val="808080"/>
        <w:sz w:val="18"/>
      </w:rPr>
      <w:t>28-Nov-14 10:09 AM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55685E" w:rsidRDefault="0055685E" w:rsidP="00607735">
      <w:r>
        <w:separator/>
      </w:r>
    </w:p>
  </w:footnote>
  <w:footnote w:type="continuationSeparator" w:id="0">
    <w:p w14:paraId="584C8C8B" w14:textId="77777777" w:rsidR="0055685E" w:rsidRDefault="0055685E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08B0D5B5" w:rsidR="0055685E" w:rsidRPr="00963761" w:rsidRDefault="0055685E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F546447" wp14:editId="2AD8458D">
          <wp:simplePos x="0" y="0"/>
          <wp:positionH relativeFrom="column">
            <wp:posOffset>-114300</wp:posOffset>
          </wp:positionH>
          <wp:positionV relativeFrom="paragraph">
            <wp:posOffset>-81280</wp:posOffset>
          </wp:positionV>
          <wp:extent cx="1231900" cy="495300"/>
          <wp:effectExtent l="0" t="0" r="12700" b="12700"/>
          <wp:wrapNone/>
          <wp:docPr id="5" name="Picture 5" descr="peterma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erma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5CF19D" wp14:editId="03032612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56048" w14:textId="77777777" w:rsidR="0055685E" w:rsidRPr="00B2330E" w:rsidRDefault="0055685E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95pt;margin-top:29.6pt;width:9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5oLMCAAC5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gOJUvFbsEaSrFSgLRAjz&#10;DhaN0t8xGmB2FNh821LNMWrfS5B/FhPiho3fkMksgY0+t6zPLVRWAFVgi9G4XNhxQG17LTYNRBof&#10;nFQ38GRq4dX8lNXhocF88KQOs8wNoPO993qauPNfAAAA//8DAFBLAwQUAAYACAAAACEA3itbYt0A&#10;AAAJAQAADwAAAGRycy9kb3ducmV2LnhtbEyPwU7DMBBE70j8g7VI3Fo7EYEmZFMhEFcQBSr15sbb&#10;JCJeR7HbhL/HPdHjap5m3pbr2fbiRKPvHCMkSwWCuHam4wbh6/N1sQLhg2aje8eE8Ese1tX1VakL&#10;4yb+oNMmNCKWsC80QhvCUEjp65as9ks3EMfs4EarQzzHRppRT7Hc9jJV6l5a3XFcaPVAzy3VP5uj&#10;Rfh+O+y2d+q9ebHZMLlZSba5RLy9mZ8eQQSawz8MZ/2oDlV02rsjGy96hEXykEcUIctTEGdgpRIQ&#10;e4Q8S0FWpbz8oPoDAAD//wMAUEsBAi0AFAAGAAgAAAAhAOSZw8D7AAAA4QEAABMAAAAAAAAAAAAA&#10;AAAAAAAAAFtDb250ZW50X1R5cGVzXS54bWxQSwECLQAUAAYACAAAACEAI7Jq4dcAAACUAQAACwAA&#10;AAAAAAAAAAAAAAAsAQAAX3JlbHMvLnJlbHNQSwECLQAUAAYACAAAACEADUC5oLMCAAC5BQAADgAA&#10;AAAAAAAAAAAAAAAsAgAAZHJzL2Uyb0RvYy54bWxQSwECLQAUAAYACAAAACEA3itbYt0AAAAJAQAA&#10;DwAAAAAAAAAAAAAAAAALBQAAZHJzL2Rvd25yZXYueG1sUEsFBgAAAAAEAAQA8wAAABUGAAAAAA==&#10;" filled="f" stroked="f">
              <v:textbox>
                <w:txbxContent>
                  <w:p w14:paraId="31D56048" w14:textId="77777777" w:rsidR="0055685E" w:rsidRPr="00B2330E" w:rsidRDefault="0055685E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EC8BBC" wp14:editId="72BB16BB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93FB" w14:textId="77777777" w:rsidR="0055685E" w:rsidRDefault="0055685E" w:rsidP="00F42F7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45E78" wp14:editId="5B18D42B">
                                <wp:extent cx="457200" cy="139700"/>
                                <wp:effectExtent l="0" t="0" r="0" b="1270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8BD58E" w14:textId="77777777" w:rsidR="0055685E" w:rsidRPr="00973272" w:rsidRDefault="0055685E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28C8C77" w14:textId="77777777" w:rsidR="0055685E" w:rsidRPr="00973272" w:rsidRDefault="0055685E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24F58FF1" w14:textId="77777777" w:rsidR="0055685E" w:rsidRPr="00973272" w:rsidRDefault="0055685E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7B9FDACD" w14:textId="77777777" w:rsidR="0055685E" w:rsidRPr="00973272" w:rsidRDefault="0055685E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441pt;margin-top:27.6pt;width:5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Cmith3eAAAACgEAAA8AAABkcnMvZG93bnJldi54bWxMj01PwzAMhu9I/IfISLuxZNU6taXphEC7&#10;DjE+JG5Z47UVjVM12dr9e8wJjrYfvX7ecju7XlxwDJ0nDaulAoFUe9tRo+H9bXefgQjRkDW9J9Rw&#10;xQDb6vamNIX1E73i5RAbwSEUCqOhjXEopAx1i86EpR+Q+HbyozORx7GRdjQTh7teJkptpDMd8YfW&#10;DPjUYv19ODsNH/vT1+davTTPLh0mPytJLpdaL+7mxwcQEef4B8OvPqtDxU5HfyYbRK8hyxLuEjWk&#10;aQKCgTxXvDgyuV5tQFal/F+h+gE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AporYd&#10;3gAAAAoBAAAPAAAAAAAAAAAAAAAAABIFAABkcnMvZG93bnJldi54bWxQSwUGAAAAAAQABADzAAAA&#10;HQYAAAAA&#10;" filled="f" stroked="f">
              <v:textbox>
                <w:txbxContent>
                  <w:p w14:paraId="4E7A93FB" w14:textId="77777777" w:rsidR="0055685E" w:rsidRDefault="0055685E" w:rsidP="00F42F75">
                    <w:r>
                      <w:rPr>
                        <w:noProof/>
                      </w:rPr>
                      <w:drawing>
                        <wp:inline distT="0" distB="0" distL="0" distR="0" wp14:anchorId="13345E78" wp14:editId="5B18D42B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F8BD58E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28C8C77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24F58FF1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7B9FDACD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DC8EE0F" wp14:editId="4BCB2D98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B6176" wp14:editId="397888ED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97529" w14:textId="1AE59D7B" w:rsidR="0055685E" w:rsidRDefault="0055685E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488.45pt;margin-top:-24.95pt;width:43.7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RrbcCAAC/BQAADgAAAGRycy9lMm9Eb2MueG1srFTbbtwgEH2v1H9AvDu+FO/aVrxRspeqUnqR&#10;kn4Aa/Aa1QYX2PWmVf+9A95bkpeqLQ8ImOHM7cxc3+y7Fu24NkLJEsdXEUZcVooJuSnx18dVkGFk&#10;LJWMtkryEj9xg29mb99cD33BE9WolnGNAESaYuhL3FjbF2FoqoZ31FypnksQ1kp31MJVb0Km6QDo&#10;XRsmUTQJB6VZr1XFjYHXxSjEM49f17yyn+vacIvaEoNv1u/a72u3h7NrWmw07RtRHdygf+FFR4UE&#10;oyeoBbUUbbV4BdWJSiujantVqS5UdS0q7mOAaOLoRTQPDe25jwWSY/pTmsz/g60+7b5oJFiJCUaS&#10;dlCiR7636E7tUeKyM/SmAKWHHtTsHp6hyj5S09+r6ptBUs0bKjf8Vms1NJwy8C52P8OLryOOcSDr&#10;4aNiYIZurfJA+1p3LnWQDAToUKWnU2WcKxU8pinJc5BUIJpk2TviKxfS4vi518a+56pD7lBiDYX3&#10;4HR3b6xzhhZHFWdLqpVoW1/8Vj57AMXxBUzDVydzTvha/syjfJktMxKQZLIMSMRYcLuak2Cyiqfp&#10;4t1iPl/Ev5zdmBSNYIxLZ+bIq5j8Wd0ODB8ZcWKWUa1gDs65ZPRmPW812lHg9covn3KQnNXC5274&#10;JEAsL0KKExLdJXmwmmTTgNQkDfJplAVRnN/lk4jkZLF6HtK9kPzfQ0JDifM0SUcunZ1+EVvk1+vY&#10;aNEJC5OjFV2Js5MSLRwDl5L50loq2vF8kQrn/jkVUO5joT1fHUVHstr9eu8b49QGa8WegMBaAcGA&#10;izD14NAo/QOjASZIic33LdUco/aDhCbIYwI0RdZfSDpN4KIvJetLCZUVQJXYYjQe53YcU9tei00D&#10;lsa2k+oWGqcWntSuw0avDu0GU8LHdphobgxd3r3Wee7OfgMAAP//AwBQSwMEFAAGAAgAAAAhAC5t&#10;7X3fAAAACwEAAA8AAABkcnMvZG93bnJldi54bWxMj8FOwzAMhu9IvENkJG5bArTdWupOCMQVxGBI&#10;3LLGaysap2qytbw92Qlutvzp9/eXm9n24kSj7xwj3CwVCOLamY4bhI/358UahA+aje4dE8IPedhU&#10;lxelLoyb+I1O29CIGMK+0AhtCEMhpa9bstov3UAcbwc3Wh3iOjbSjHqK4baXt0pl0uqO44dWD/TY&#10;Uv29PVqE3cvh6zNRr82TTYfJzUqyzSXi9dX8cA8i0Bz+YDjrR3WootPeHdl40SPkqyyPKMIiyeNw&#10;JlSW3IHYI6TrFGRVyv8dql8AAAD//wMAUEsBAi0AFAAGAAgAAAAhAOSZw8D7AAAA4QEAABMAAAAA&#10;AAAAAAAAAAAAAAAAAFtDb250ZW50X1R5cGVzXS54bWxQSwECLQAUAAYACAAAACEAI7Jq4dcAAACU&#10;AQAACwAAAAAAAAAAAAAAAAAsAQAAX3JlbHMvLnJlbHNQSwECLQAUAAYACAAAACEAOxKRrbcCAAC/&#10;BQAADgAAAAAAAAAAAAAAAAAsAgAAZHJzL2Uyb0RvYy54bWxQSwECLQAUAAYACAAAACEALm3tfd8A&#10;AAALAQAADwAAAAAAAAAAAAAAAAAPBQAAZHJzL2Rvd25yZXYueG1sUEsFBgAAAAAEAAQA8wAAABsG&#10;AAAAAA==&#10;" filled="f" stroked="f">
              <v:textbox>
                <w:txbxContent>
                  <w:p w14:paraId="4B197529" w14:textId="1AE59D7B" w:rsidR="0055685E" w:rsidRDefault="0055685E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432"/>
    <w:rsid w:val="003F6E79"/>
    <w:rsid w:val="004009E6"/>
    <w:rsid w:val="00401652"/>
    <w:rsid w:val="00405A3C"/>
    <w:rsid w:val="00452D08"/>
    <w:rsid w:val="00467CDB"/>
    <w:rsid w:val="00467ED3"/>
    <w:rsid w:val="0049466D"/>
    <w:rsid w:val="004C559A"/>
    <w:rsid w:val="004E0285"/>
    <w:rsid w:val="004E0467"/>
    <w:rsid w:val="004E3DD6"/>
    <w:rsid w:val="004E6356"/>
    <w:rsid w:val="004F757E"/>
    <w:rsid w:val="00500D30"/>
    <w:rsid w:val="00503104"/>
    <w:rsid w:val="00510955"/>
    <w:rsid w:val="00512F79"/>
    <w:rsid w:val="0054222E"/>
    <w:rsid w:val="005435AD"/>
    <w:rsid w:val="00547711"/>
    <w:rsid w:val="0055685E"/>
    <w:rsid w:val="00570777"/>
    <w:rsid w:val="005878AA"/>
    <w:rsid w:val="0059224B"/>
    <w:rsid w:val="005D048F"/>
    <w:rsid w:val="005D684F"/>
    <w:rsid w:val="005F0C42"/>
    <w:rsid w:val="005F5CB9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8F4C82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95BFE"/>
    <w:rsid w:val="009A09EB"/>
    <w:rsid w:val="009A6D70"/>
    <w:rsid w:val="009D58E4"/>
    <w:rsid w:val="009E5D98"/>
    <w:rsid w:val="009E78D2"/>
    <w:rsid w:val="00A03EA6"/>
    <w:rsid w:val="00A1035D"/>
    <w:rsid w:val="00A16AFC"/>
    <w:rsid w:val="00A257EA"/>
    <w:rsid w:val="00A362AE"/>
    <w:rsid w:val="00A375F8"/>
    <w:rsid w:val="00A40A28"/>
    <w:rsid w:val="00A4595B"/>
    <w:rsid w:val="00A63154"/>
    <w:rsid w:val="00A6392C"/>
    <w:rsid w:val="00A706C7"/>
    <w:rsid w:val="00A7091B"/>
    <w:rsid w:val="00A909B5"/>
    <w:rsid w:val="00AB3332"/>
    <w:rsid w:val="00AC78A3"/>
    <w:rsid w:val="00AD5474"/>
    <w:rsid w:val="00AD585B"/>
    <w:rsid w:val="00AE102A"/>
    <w:rsid w:val="00AE2CF0"/>
    <w:rsid w:val="00AF42B5"/>
    <w:rsid w:val="00B0126C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51BAA"/>
    <w:rsid w:val="00D87EDA"/>
    <w:rsid w:val="00DA040E"/>
    <w:rsid w:val="00DA2FDA"/>
    <w:rsid w:val="00DC09F1"/>
    <w:rsid w:val="00DC1AF9"/>
    <w:rsid w:val="00DC2EF1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53634"/>
    <w:rsid w:val="00E60348"/>
    <w:rsid w:val="00E65B83"/>
    <w:rsid w:val="00E765E0"/>
    <w:rsid w:val="00E831CD"/>
    <w:rsid w:val="00EB038C"/>
    <w:rsid w:val="00EC38AE"/>
    <w:rsid w:val="00ED1467"/>
    <w:rsid w:val="00EE7BC2"/>
    <w:rsid w:val="00F00B33"/>
    <w:rsid w:val="00F029B8"/>
    <w:rsid w:val="00F146F0"/>
    <w:rsid w:val="00F14E16"/>
    <w:rsid w:val="00F35DDD"/>
    <w:rsid w:val="00F42F75"/>
    <w:rsid w:val="00F46556"/>
    <w:rsid w:val="00F5574D"/>
    <w:rsid w:val="00F60328"/>
    <w:rsid w:val="00F63B07"/>
    <w:rsid w:val="00F85033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4" Type="http://schemas.openxmlformats.org/officeDocument/2006/relationships/image" Target="media/image3.png"/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DA6068-B1E1-DE43-B224-3941B98B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491</Words>
  <Characters>2803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3288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test</cp:lastModifiedBy>
  <cp:revision>11</cp:revision>
  <cp:lastPrinted>2012-12-04T01:35:00Z</cp:lastPrinted>
  <dcterms:created xsi:type="dcterms:W3CDTF">2014-05-11T06:24:00Z</dcterms:created>
  <dcterms:modified xsi:type="dcterms:W3CDTF">2015-08-30T23:54:00Z</dcterms:modified>
  <cp:category/>
</cp:coreProperties>
</file>