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17F4FE">
      <w:pPr>
        <w:jc w:val="center"/>
        <w:rPr>
          <w:rFonts w:hint="eastAsia" w:ascii="楷体" w:hAnsi="楷体" w:eastAsia="楷体" w:cs="楷体"/>
          <w:b/>
          <w:bCs/>
          <w:color w:val="0D0D0D" w:themeColor="text1" w:themeTint="F2"/>
          <w:sz w:val="32"/>
          <w:szCs w:val="40"/>
          <w:lang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 w:ascii="楷体" w:hAnsi="楷体" w:eastAsia="楷体" w:cs="楷体"/>
          <w:b/>
          <w:bCs/>
          <w:sz w:val="40"/>
          <w:szCs w:val="48"/>
          <w:lang w:val="en-US" w:eastAsia="zh-CN"/>
        </w:rPr>
        <w:t>文章撰写</w:t>
      </w:r>
    </w:p>
    <w:p w14:paraId="4CA52ACE">
      <w:pPr>
        <w:pStyle w:val="4"/>
        <w:spacing w:before="240" w:after="120"/>
        <w:rPr>
          <w:rFonts w:hint="eastAsia" w:ascii="楷体" w:hAnsi="楷体" w:eastAsia="楷体" w:cs="楷体"/>
          <w:b/>
          <w:bCs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 w:ascii="楷体" w:hAnsi="楷体" w:eastAsia="楷体" w:cs="楷体"/>
          <w:b/>
          <w:bCs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摘要</w:t>
      </w:r>
    </w:p>
    <w:p w14:paraId="68F1FB3E">
      <w:pPr>
        <w:spacing w:before="120" w:after="120"/>
      </w:pPr>
      <w:r>
        <w:rPr>
          <w:b w:val="0"/>
          <w:bCs w:val="0"/>
          <w:i w:val="0"/>
          <w:iCs w:val="0"/>
        </w:rPr>
        <w:t>（</w:t>
      </w:r>
      <w:r>
        <w:rPr>
          <w:b w:val="0"/>
          <w:bCs w:val="0"/>
          <w:i/>
          <w:iCs/>
        </w:rPr>
        <w:t>先空着，等全文完成后，从引言、实证结果和结论中提炼核心观点</w:t>
      </w:r>
      <w:r>
        <w:rPr>
          <w:b w:val="0"/>
          <w:bCs w:val="0"/>
          <w:i w:val="0"/>
          <w:iCs w:val="0"/>
        </w:rPr>
        <w:t>）</w:t>
      </w:r>
    </w:p>
    <w:p w14:paraId="686203F7">
      <w:pPr>
        <w:spacing w:before="120" w:after="120"/>
      </w:pPr>
      <w:r>
        <w:rPr>
          <w:b/>
          <w:bCs/>
          <w:i w:val="0"/>
          <w:iCs w:val="0"/>
        </w:rPr>
        <w:t>关键词</w:t>
      </w:r>
      <w:r>
        <w:rPr>
          <w:b w:val="0"/>
          <w:bCs w:val="0"/>
          <w:i w:val="0"/>
          <w:iCs w:val="0"/>
        </w:rPr>
        <w:t>：股票回购；现金分红；信号传递；市场反应；双重差分模型 (DID)；新国九条</w:t>
      </w:r>
    </w:p>
    <w:p w14:paraId="23E313A7">
      <w:pPr>
        <w:jc w:val="center"/>
      </w:pPr>
      <w:r>
        <w:rPr>
          <w:color w:val="999999"/>
        </w:rPr>
        <w:t>──────────────────────────────────────────────────</w:t>
      </w:r>
    </w:p>
    <w:p w14:paraId="08B64A2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both"/>
        <w:textAlignment w:val="auto"/>
        <w:rPr>
          <w:rFonts w:hint="eastAsia" w:ascii="楷体" w:hAnsi="楷体" w:eastAsia="楷体" w:cs="楷体"/>
          <w:b/>
          <w:bCs/>
          <w:color w:val="C00000"/>
          <w:kern w:val="2"/>
          <w:sz w:val="28"/>
          <w:szCs w:val="28"/>
          <w:lang w:val="en-US" w:eastAsia="zh-CN" w:bidi="ar-SA"/>
        </w:rPr>
      </w:pPr>
      <w:commentRangeStart w:id="0"/>
      <w:r>
        <w:rPr>
          <w:rFonts w:hint="eastAsia" w:ascii="楷体" w:hAnsi="楷体" w:eastAsia="楷体" w:cs="楷体"/>
          <w:b/>
          <w:bCs/>
          <w:color w:val="C00000"/>
          <w:kern w:val="2"/>
          <w:sz w:val="28"/>
          <w:szCs w:val="28"/>
          <w:lang w:val="en-US" w:eastAsia="zh-CN" w:bidi="ar-SA"/>
        </w:rPr>
        <w:t>引言</w:t>
      </w:r>
      <w:commentRangeEnd w:id="0"/>
      <w:r>
        <w:commentReference w:id="0"/>
      </w:r>
    </w:p>
    <w:p w14:paraId="384D544E">
      <w:r>
        <w:rPr>
          <w:rFonts w:hint="eastAsia" w:eastAsia="宋体"/>
          <w:b/>
          <w:bCs/>
          <w:i w:val="0"/>
          <w:iCs w:val="0"/>
          <w:lang w:eastAsia="zh-CN"/>
        </w:rPr>
        <w:t>（</w:t>
      </w:r>
      <w:r>
        <w:rPr>
          <w:rFonts w:hint="eastAsia" w:eastAsia="宋体"/>
          <w:b/>
          <w:bCs/>
          <w:i w:val="0"/>
          <w:iCs w:val="0"/>
          <w:lang w:val="en-US" w:eastAsia="zh-CN"/>
        </w:rPr>
        <w:t>1</w:t>
      </w:r>
      <w:r>
        <w:rPr>
          <w:rFonts w:hint="eastAsia" w:eastAsia="宋体"/>
          <w:b/>
          <w:bCs/>
          <w:i w:val="0"/>
          <w:iCs w:val="0"/>
          <w:lang w:eastAsia="zh-CN"/>
        </w:rPr>
        <w:t>）</w:t>
      </w:r>
      <w:r>
        <w:rPr>
          <w:b/>
          <w:bCs/>
          <w:i w:val="0"/>
          <w:iCs w:val="0"/>
        </w:rPr>
        <w:t>研究背景与现象观察（提出问题）</w:t>
      </w:r>
      <w:r>
        <w:rPr>
          <w:b w:val="0"/>
          <w:bCs w:val="0"/>
          <w:i w:val="0"/>
          <w:iCs w:val="0"/>
        </w:rPr>
        <w:t>：</w:t>
      </w:r>
      <w:r>
        <w:rPr>
          <w:rFonts w:hint="eastAsia" w:eastAsia="宋体"/>
          <w:b w:val="0"/>
          <w:bCs w:val="0"/>
          <w:i w:val="0"/>
          <w:iCs w:val="0"/>
          <w:lang w:eastAsia="zh-CN"/>
        </w:rPr>
        <w:t>（</w:t>
      </w:r>
      <w:r>
        <w:rPr>
          <w:rFonts w:hint="eastAsia" w:eastAsia="宋体"/>
          <w:b w:val="0"/>
          <w:bCs w:val="0"/>
          <w:i w:val="0"/>
          <w:iCs w:val="0"/>
          <w:color w:val="C00000"/>
          <w:lang w:val="en-US" w:eastAsia="zh-CN"/>
        </w:rPr>
        <w:t>仅供参考</w:t>
      </w:r>
      <w:r>
        <w:rPr>
          <w:rFonts w:hint="eastAsia" w:eastAsia="宋体"/>
          <w:b w:val="0"/>
          <w:bCs w:val="0"/>
          <w:i w:val="0"/>
          <w:iCs w:val="0"/>
          <w:lang w:eastAsia="zh-CN"/>
        </w:rPr>
        <w:t>）</w:t>
      </w:r>
    </w:p>
    <w:p w14:paraId="759909DF">
      <w:pPr>
        <w:ind w:left="720"/>
      </w:pPr>
      <w:r>
        <w:rPr>
          <w:b/>
          <w:bCs/>
        </w:rPr>
        <w:t>•</w:t>
      </w:r>
      <w:r>
        <w:tab/>
      </w:r>
      <w:r>
        <w:rPr>
          <w:b/>
          <w:bCs/>
          <w:i w:val="0"/>
          <w:iCs w:val="0"/>
        </w:rPr>
        <w:t>引出“回购”这一经典话题</w:t>
      </w:r>
      <w:r>
        <w:rPr>
          <w:b w:val="0"/>
          <w:bCs w:val="0"/>
          <w:i w:val="0"/>
          <w:iCs w:val="0"/>
        </w:rPr>
        <w:t>：股票回购作为公司资本配置和市值管理的重要工具，长期以来被学术界和实务界广泛关注。</w:t>
      </w:r>
    </w:p>
    <w:p w14:paraId="20523C5E">
      <w:pPr>
        <w:ind w:left="720"/>
      </w:pPr>
      <w:r>
        <w:rPr>
          <w:b/>
          <w:bCs/>
        </w:rPr>
        <w:t>•</w:t>
      </w:r>
      <w:r>
        <w:tab/>
      </w:r>
      <w:r>
        <w:rPr>
          <w:b/>
          <w:bCs/>
          <w:i w:val="0"/>
          <w:iCs w:val="0"/>
        </w:rPr>
        <w:t>阐述经典理论与发现</w:t>
      </w:r>
      <w:r>
        <w:rPr>
          <w:b w:val="0"/>
          <w:bCs w:val="0"/>
          <w:i w:val="0"/>
          <w:iCs w:val="0"/>
        </w:rPr>
        <w:t>：传统文献普遍认为，股票回购（尤其是注销式回购）能够向市场传递“股价被低估”的积极信号，因此在公告日附近会产生显著为正的短期超额收益（[cite: Dann, 1981; Vermaelen, 1981; Ikenberry et al., 1995]）。</w:t>
      </w:r>
    </w:p>
    <w:p w14:paraId="1969F3C1">
      <w:pPr>
        <w:ind w:left="720"/>
      </w:pPr>
      <w:r>
        <w:rPr>
          <w:b/>
          <w:bCs/>
        </w:rPr>
        <w:t>•</w:t>
      </w:r>
      <w:r>
        <w:tab/>
      </w:r>
      <w:r>
        <w:rPr>
          <w:b/>
          <w:bCs/>
          <w:i w:val="0"/>
          <w:iCs w:val="0"/>
        </w:rPr>
        <w:t>引出关键政策变革</w:t>
      </w:r>
      <w:r>
        <w:rPr>
          <w:b w:val="0"/>
          <w:bCs w:val="0"/>
          <w:i w:val="0"/>
          <w:iCs w:val="0"/>
        </w:rPr>
        <w:t>：2024年4月，新“国九条”及配套《股票上市规则》的发布，首次明确将“回购注销金额”纳入现金分红总额计算。这一制度创新从根本上赋予了注销式回购类分红的属性。</w:t>
      </w:r>
    </w:p>
    <w:p w14:paraId="0667F7D2">
      <w:pPr>
        <w:ind w:left="720"/>
        <w:rPr>
          <w:rFonts w:hint="eastAsia" w:eastAsia="宋体"/>
          <w:lang w:eastAsia="zh-CN"/>
        </w:rPr>
      </w:pPr>
      <w:r>
        <w:rPr>
          <w:b/>
          <w:bCs/>
        </w:rPr>
        <w:t>•</w:t>
      </w:r>
      <w:r>
        <w:tab/>
      </w:r>
      <w:r>
        <w:rPr>
          <w:b/>
          <w:bCs/>
          <w:i w:val="0"/>
          <w:iCs w:val="0"/>
        </w:rPr>
        <w:t>观察到“反常”的市场现象</w:t>
      </w:r>
      <w:r>
        <w:rPr>
          <w:b w:val="0"/>
          <w:bCs w:val="0"/>
          <w:i w:val="0"/>
          <w:iCs w:val="0"/>
        </w:rPr>
        <w:t>：政策出台后，A股市场上的注销式回购公告数量激增。然而，初步观察发现（</w:t>
      </w:r>
      <w:r>
        <w:rPr>
          <w:b w:val="0"/>
          <w:bCs w:val="0"/>
          <w:i/>
          <w:iCs/>
        </w:rPr>
        <w:t>在此处引用申请书中的图</w:t>
      </w:r>
      <w:r>
        <w:rPr>
          <w:b w:val="0"/>
          <w:bCs w:val="0"/>
          <w:i w:val="0"/>
          <w:iCs w:val="0"/>
        </w:rPr>
        <w:t>），伴随数量激增的却是公告日短期超额收益（CAR）的普遍下降甚至不再显著</w:t>
      </w:r>
      <w:r>
        <w:rPr>
          <w:rFonts w:hint="eastAsia" w:eastAsia="宋体"/>
          <w:b w:val="0"/>
          <w:bCs w:val="0"/>
          <w:i w:val="0"/>
          <w:iCs w:val="0"/>
          <w:lang w:eastAsia="zh-CN"/>
        </w:rPr>
        <w:t>（</w:t>
      </w:r>
      <w:r>
        <w:rPr>
          <w:rFonts w:hint="eastAsia" w:eastAsia="宋体"/>
          <w:b w:val="0"/>
          <w:bCs w:val="0"/>
          <w:i w:val="0"/>
          <w:iCs w:val="0"/>
          <w:color w:val="C00000"/>
          <w:lang w:val="en-US" w:eastAsia="zh-CN"/>
        </w:rPr>
        <w:t>吹水下，观察得到等等先</w:t>
      </w:r>
      <w:r>
        <w:rPr>
          <w:rFonts w:hint="eastAsia" w:eastAsia="宋体"/>
          <w:b w:val="0"/>
          <w:bCs w:val="0"/>
          <w:i w:val="0"/>
          <w:iCs w:val="0"/>
          <w:lang w:eastAsia="zh-CN"/>
        </w:rPr>
        <w:t>）</w:t>
      </w:r>
      <w:r>
        <w:rPr>
          <w:b w:val="0"/>
          <w:bCs w:val="0"/>
          <w:i w:val="0"/>
          <w:iCs w:val="0"/>
        </w:rPr>
        <w:t>。</w:t>
      </w:r>
      <w:r>
        <w:rPr>
          <w:rFonts w:hint="eastAsia" w:eastAsia="宋体"/>
          <w:b w:val="0"/>
          <w:bCs w:val="0"/>
          <w:i w:val="0"/>
          <w:iCs w:val="0"/>
          <w:lang w:eastAsia="zh-CN"/>
        </w:rPr>
        <w:t>（</w:t>
      </w:r>
      <w:r>
        <w:rPr>
          <w:rFonts w:hint="eastAsia" w:eastAsia="宋体"/>
          <w:b w:val="0"/>
          <w:bCs w:val="0"/>
          <w:i w:val="0"/>
          <w:iCs w:val="0"/>
          <w:color w:val="C00000"/>
          <w:lang w:val="en-US" w:eastAsia="zh-CN"/>
        </w:rPr>
        <w:t>会不会有之前不回购的回购了；之前分红的现在发回购之后分红变少了等等；主要就是我们那个模型里面post和treat的0和1的互相搭配</w:t>
      </w:r>
      <w:r>
        <w:rPr>
          <w:rFonts w:hint="eastAsia" w:eastAsia="宋体"/>
          <w:b w:val="0"/>
          <w:bCs w:val="0"/>
          <w:i w:val="0"/>
          <w:iCs w:val="0"/>
          <w:lang w:eastAsia="zh-CN"/>
        </w:rPr>
        <w:t>）</w:t>
      </w:r>
    </w:p>
    <w:p w14:paraId="52190A57">
      <w:pPr>
        <w:ind w:left="0"/>
      </w:pPr>
      <w:r>
        <w:rPr>
          <w:rFonts w:hint="eastAsia" w:eastAsia="宋体"/>
          <w:b/>
          <w:bCs/>
          <w:i w:val="0"/>
          <w:iCs w:val="0"/>
          <w:lang w:eastAsia="zh-CN"/>
        </w:rPr>
        <w:t>（</w:t>
      </w:r>
      <w:r>
        <w:rPr>
          <w:rFonts w:hint="eastAsia" w:eastAsia="宋体"/>
          <w:b/>
          <w:bCs/>
          <w:i w:val="0"/>
          <w:iCs w:val="0"/>
          <w:lang w:val="en-US" w:eastAsia="zh-CN"/>
        </w:rPr>
        <w:t>2</w:t>
      </w:r>
      <w:r>
        <w:rPr>
          <w:rFonts w:hint="eastAsia" w:eastAsia="宋体"/>
          <w:b/>
          <w:bCs/>
          <w:i w:val="0"/>
          <w:iCs w:val="0"/>
          <w:lang w:eastAsia="zh-CN"/>
        </w:rPr>
        <w:t>）</w:t>
      </w:r>
      <w:r>
        <w:rPr>
          <w:b/>
          <w:bCs/>
          <w:i w:val="0"/>
          <w:iCs w:val="0"/>
        </w:rPr>
        <w:t>提出核心研究问题</w:t>
      </w:r>
      <w:r>
        <w:rPr>
          <w:b w:val="0"/>
          <w:bCs w:val="0"/>
          <w:i w:val="0"/>
          <w:iCs w:val="0"/>
        </w:rPr>
        <w:t>：</w:t>
      </w:r>
      <w:r>
        <w:rPr>
          <w:rFonts w:hint="eastAsia" w:eastAsia="宋体"/>
          <w:b w:val="0"/>
          <w:bCs w:val="0"/>
          <w:i w:val="0"/>
          <w:iCs w:val="0"/>
          <w:lang w:eastAsia="zh-CN"/>
        </w:rPr>
        <w:t>（</w:t>
      </w:r>
      <w:r>
        <w:rPr>
          <w:rFonts w:hint="eastAsia" w:eastAsia="宋体"/>
          <w:b w:val="0"/>
          <w:bCs w:val="0"/>
          <w:i w:val="0"/>
          <w:iCs w:val="0"/>
          <w:color w:val="C00000"/>
          <w:lang w:val="en-US" w:eastAsia="zh-CN"/>
        </w:rPr>
        <w:t>仅供参考</w:t>
      </w:r>
      <w:r>
        <w:rPr>
          <w:rFonts w:hint="eastAsia" w:eastAsia="宋体"/>
          <w:b w:val="0"/>
          <w:bCs w:val="0"/>
          <w:i w:val="0"/>
          <w:iCs w:val="0"/>
          <w:lang w:eastAsia="zh-CN"/>
        </w:rPr>
        <w:t>）</w:t>
      </w:r>
    </w:p>
    <w:p w14:paraId="25847FE1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这种</w:t>
      </w:r>
      <w:r>
        <w:rPr>
          <w:rFonts w:hint="eastAsia" w:eastAsia="宋体"/>
          <w:b w:val="0"/>
          <w:bCs w:val="0"/>
          <w:i w:val="0"/>
          <w:iCs w:val="0"/>
          <w:lang w:val="en-US" w:eastAsia="zh-CN"/>
        </w:rPr>
        <w:t>相对下</w:t>
      </w:r>
      <w:r>
        <w:rPr>
          <w:b w:val="0"/>
          <w:bCs w:val="0"/>
          <w:i w:val="0"/>
          <w:iCs w:val="0"/>
        </w:rPr>
        <w:t>量增价跌的反常现象背后逻辑是什么？</w:t>
      </w:r>
    </w:p>
    <w:p w14:paraId="64A4941E">
      <w:pPr>
        <w:ind w:left="720"/>
        <w:rPr>
          <w:rFonts w:hint="default" w:eastAsia="宋体"/>
          <w:lang w:val="en-US" w:eastAsia="zh-CN"/>
        </w:rPr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当政策为回购行为叠加了“分红属性”后，</w:t>
      </w:r>
      <w:r>
        <w:rPr>
          <w:rFonts w:hint="eastAsia" w:eastAsia="宋体"/>
          <w:b w:val="0"/>
          <w:bCs w:val="0"/>
          <w:i w:val="0"/>
          <w:iCs w:val="0"/>
          <w:lang w:val="en-US" w:eastAsia="zh-CN"/>
        </w:rPr>
        <w:t>资本市场对这一信息的回应如何？</w:t>
      </w:r>
    </w:p>
    <w:p w14:paraId="0D772B51">
      <w:pPr>
        <w:ind w:left="720"/>
        <w:rPr>
          <w:rFonts w:hint="eastAsia" w:eastAsia="宋体"/>
          <w:lang w:eastAsia="zh-CN"/>
        </w:rPr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“分红式回购”是否从根本上改变了公司实施回购的</w:t>
      </w:r>
      <w:r>
        <w:rPr>
          <w:b/>
          <w:bCs/>
          <w:i w:val="0"/>
          <w:iCs w:val="0"/>
        </w:rPr>
        <w:t>动机</w:t>
      </w:r>
      <w:r>
        <w:rPr>
          <w:b w:val="0"/>
          <w:bCs w:val="0"/>
          <w:i w:val="0"/>
          <w:iCs w:val="0"/>
        </w:rPr>
        <w:t>，从而</w:t>
      </w:r>
      <w:r>
        <w:rPr>
          <w:b/>
          <w:bCs/>
          <w:i w:val="0"/>
          <w:iCs w:val="0"/>
        </w:rPr>
        <w:t>稀释</w:t>
      </w:r>
      <w:r>
        <w:rPr>
          <w:b w:val="0"/>
          <w:bCs w:val="0"/>
          <w:i w:val="0"/>
          <w:iCs w:val="0"/>
        </w:rPr>
        <w:t>甚至</w:t>
      </w:r>
      <w:r>
        <w:rPr>
          <w:b/>
          <w:bCs/>
          <w:i w:val="0"/>
          <w:iCs w:val="0"/>
        </w:rPr>
        <w:t>侵蚀</w:t>
      </w:r>
      <w:r>
        <w:rPr>
          <w:b w:val="0"/>
          <w:bCs w:val="0"/>
          <w:i w:val="0"/>
          <w:iCs w:val="0"/>
        </w:rPr>
        <w:t>了其传统的股价低估信号价值？</w:t>
      </w:r>
    </w:p>
    <w:p w14:paraId="09828C3C">
      <w:pPr>
        <w:ind w:left="0"/>
      </w:pPr>
      <w:r>
        <w:rPr>
          <w:rFonts w:hint="eastAsia" w:eastAsia="宋体"/>
          <w:b/>
          <w:bCs/>
          <w:i w:val="0"/>
          <w:iCs w:val="0"/>
          <w:lang w:eastAsia="zh-CN"/>
        </w:rPr>
        <w:t>（</w:t>
      </w:r>
      <w:r>
        <w:rPr>
          <w:rFonts w:hint="eastAsia" w:eastAsia="宋体"/>
          <w:b/>
          <w:bCs/>
          <w:i w:val="0"/>
          <w:iCs w:val="0"/>
          <w:lang w:val="en-US" w:eastAsia="zh-CN"/>
        </w:rPr>
        <w:t>3</w:t>
      </w:r>
      <w:r>
        <w:rPr>
          <w:rFonts w:hint="eastAsia" w:eastAsia="宋体"/>
          <w:b/>
          <w:bCs/>
          <w:i w:val="0"/>
          <w:iCs w:val="0"/>
          <w:lang w:eastAsia="zh-CN"/>
        </w:rPr>
        <w:t>）</w:t>
      </w:r>
      <w:r>
        <w:rPr>
          <w:b/>
          <w:bCs/>
          <w:i w:val="0"/>
          <w:iCs w:val="0"/>
        </w:rPr>
        <w:t>研究设计与边际贡献</w:t>
      </w:r>
      <w:r>
        <w:rPr>
          <w:b w:val="0"/>
          <w:bCs w:val="0"/>
          <w:i w:val="0"/>
          <w:iCs w:val="0"/>
        </w:rPr>
        <w:t>：</w:t>
      </w:r>
      <w:r>
        <w:rPr>
          <w:rFonts w:hint="eastAsia" w:eastAsia="宋体"/>
          <w:b w:val="0"/>
          <w:bCs w:val="0"/>
          <w:i w:val="0"/>
          <w:iCs w:val="0"/>
          <w:lang w:eastAsia="zh-CN"/>
        </w:rPr>
        <w:t>（</w:t>
      </w:r>
      <w:r>
        <w:rPr>
          <w:rFonts w:hint="eastAsia" w:eastAsia="宋体"/>
          <w:b w:val="0"/>
          <w:bCs w:val="0"/>
          <w:i w:val="0"/>
          <w:iCs w:val="0"/>
          <w:color w:val="C00000"/>
          <w:lang w:val="en-US" w:eastAsia="zh-CN"/>
        </w:rPr>
        <w:t>仅供参考</w:t>
      </w:r>
      <w:r>
        <w:rPr>
          <w:rFonts w:hint="eastAsia" w:eastAsia="宋体"/>
          <w:b w:val="0"/>
          <w:bCs w:val="0"/>
          <w:i w:val="0"/>
          <w:iCs w:val="0"/>
          <w:lang w:eastAsia="zh-CN"/>
        </w:rPr>
        <w:t>）</w:t>
      </w:r>
      <w:bookmarkStart w:id="0" w:name="_GoBack"/>
      <w:bookmarkEnd w:id="0"/>
    </w:p>
    <w:p w14:paraId="462D00A6">
      <w:pPr>
        <w:ind w:left="720"/>
      </w:pPr>
      <w:r>
        <w:rPr>
          <w:b/>
          <w:bCs/>
        </w:rPr>
        <w:t>•</w:t>
      </w:r>
      <w:r>
        <w:tab/>
      </w:r>
      <w:r>
        <w:rPr>
          <w:b/>
          <w:bCs/>
          <w:i w:val="0"/>
          <w:iCs w:val="0"/>
        </w:rPr>
        <w:t>研究设计</w:t>
      </w:r>
      <w:r>
        <w:rPr>
          <w:b w:val="0"/>
          <w:bCs w:val="0"/>
          <w:i w:val="0"/>
          <w:iCs w:val="0"/>
        </w:rPr>
        <w:t>：本文将新“国九条”的实施视为一项</w:t>
      </w:r>
      <w:r>
        <w:rPr>
          <w:b/>
          <w:bCs/>
          <w:i w:val="0"/>
          <w:iCs w:val="0"/>
        </w:rPr>
        <w:t>准自然实验</w:t>
      </w:r>
      <w:r>
        <w:rPr>
          <w:b w:val="0"/>
          <w:bCs w:val="0"/>
          <w:i w:val="0"/>
          <w:iCs w:val="0"/>
        </w:rPr>
        <w:t>，构建双重差分（DID）模型，系统性地检验新政赋予回购“分红属性”后，其公告日的短期市场反应（CAR）发生的因果变化。</w:t>
      </w:r>
    </w:p>
    <w:p w14:paraId="3E6B4E28">
      <w:pPr>
        <w:ind w:left="720"/>
      </w:pPr>
      <w:r>
        <w:rPr>
          <w:b/>
          <w:bCs/>
        </w:rPr>
        <w:t>•</w:t>
      </w:r>
      <w:r>
        <w:tab/>
      </w:r>
      <w:r>
        <w:rPr>
          <w:b/>
          <w:bCs/>
          <w:i w:val="0"/>
          <w:iCs w:val="0"/>
        </w:rPr>
        <w:t>边际贡献</w:t>
      </w:r>
      <w:r>
        <w:rPr>
          <w:b w:val="0"/>
          <w:bCs w:val="0"/>
          <w:i w:val="0"/>
          <w:iCs w:val="0"/>
        </w:rPr>
        <w:t>：</w:t>
      </w:r>
    </w:p>
    <w:p w14:paraId="1A554B60">
      <w:pPr>
        <w:ind w:left="0"/>
        <w:rPr>
          <w:rFonts w:hint="eastAsia" w:eastAsia="宋体"/>
          <w:lang w:eastAsia="zh-CN"/>
        </w:rPr>
      </w:pPr>
      <w:r>
        <w:rPr>
          <w:b/>
          <w:bCs/>
        </w:rPr>
        <w:t>•</w:t>
      </w:r>
      <w:r>
        <w:tab/>
      </w:r>
      <w:r>
        <w:rPr>
          <w:b/>
          <w:bCs/>
          <w:i w:val="0"/>
          <w:iCs w:val="0"/>
        </w:rPr>
        <w:t>理论贡献</w:t>
      </w:r>
      <w:r>
        <w:rPr>
          <w:b w:val="0"/>
          <w:bCs w:val="0"/>
          <w:i w:val="0"/>
          <w:iCs w:val="0"/>
        </w:rPr>
        <w:t>：</w:t>
      </w:r>
      <w:r>
        <w:rPr>
          <w:b w:val="0"/>
          <w:bCs w:val="0"/>
          <w:i w:val="0"/>
          <w:iCs w:val="0"/>
          <w:u w:val="single"/>
        </w:rPr>
        <w:t>拓展了回购信号理论的边界。在传统“估值信号”理论基础上，探讨了</w:t>
      </w:r>
      <w:r>
        <w:rPr>
          <w:rFonts w:hint="eastAsia" w:eastAsia="宋体"/>
          <w:b w:val="0"/>
          <w:bCs w:val="0"/>
          <w:i w:val="0"/>
          <w:iCs w:val="0"/>
          <w:u w:val="single"/>
          <w:lang w:val="en-US" w:eastAsia="zh-CN"/>
        </w:rPr>
        <w:t>是否存在</w:t>
      </w:r>
      <w:r>
        <w:rPr>
          <w:b w:val="0"/>
          <w:bCs w:val="0"/>
          <w:i w:val="0"/>
          <w:iCs w:val="0"/>
          <w:u w:val="single"/>
        </w:rPr>
        <w:t>当分红替代动机被政策强化后，两种动机信号的冲突与融合，深化了对公司资本决策行为复杂性的理解。</w:t>
      </w:r>
      <w:r>
        <w:rPr>
          <w:rFonts w:hint="eastAsia" w:eastAsia="宋体"/>
          <w:b w:val="0"/>
          <w:bCs w:val="0"/>
          <w:i w:val="0"/>
          <w:iCs w:val="0"/>
          <w:lang w:eastAsia="zh-CN"/>
        </w:rPr>
        <w:t>（</w:t>
      </w:r>
      <w:r>
        <w:rPr>
          <w:rFonts w:hint="eastAsia" w:eastAsia="宋体"/>
          <w:b w:val="0"/>
          <w:bCs w:val="0"/>
          <w:i w:val="0"/>
          <w:iCs w:val="0"/>
          <w:color w:val="C00000"/>
          <w:lang w:val="en-US" w:eastAsia="zh-CN"/>
        </w:rPr>
        <w:t>仅供参考</w:t>
      </w:r>
      <w:r>
        <w:rPr>
          <w:rFonts w:hint="eastAsia" w:eastAsia="宋体"/>
          <w:b w:val="0"/>
          <w:bCs w:val="0"/>
          <w:i w:val="0"/>
          <w:iCs w:val="0"/>
          <w:lang w:eastAsia="zh-CN"/>
        </w:rPr>
        <w:t>）</w:t>
      </w:r>
    </w:p>
    <w:p w14:paraId="5ABC2D55">
      <w:pPr>
        <w:ind w:left="720"/>
        <w:rPr>
          <w:rFonts w:hint="eastAsia" w:eastAsia="宋体"/>
          <w:lang w:eastAsia="zh-CN"/>
        </w:rPr>
      </w:pPr>
    </w:p>
    <w:p w14:paraId="04EE590D">
      <w:pPr>
        <w:ind w:left="720"/>
        <w:rPr>
          <w:b w:val="0"/>
          <w:bCs w:val="0"/>
          <w:i w:val="0"/>
          <w:iCs w:val="0"/>
        </w:rPr>
      </w:pPr>
      <w:r>
        <w:rPr>
          <w:b/>
          <w:bCs/>
        </w:rPr>
        <w:t>•</w:t>
      </w:r>
      <w:r>
        <w:tab/>
      </w:r>
      <w:r>
        <w:rPr>
          <w:b/>
          <w:bCs/>
          <w:i w:val="0"/>
          <w:iCs w:val="0"/>
        </w:rPr>
        <w:t>实证贡献</w:t>
      </w:r>
      <w:r>
        <w:rPr>
          <w:b w:val="0"/>
          <w:bCs w:val="0"/>
          <w:i w:val="0"/>
          <w:iCs w:val="0"/>
        </w:rPr>
        <w:t>：</w:t>
      </w:r>
    </w:p>
    <w:p w14:paraId="34140F06">
      <w:pPr>
        <w:ind w:left="720"/>
      </w:pPr>
      <w:r>
        <w:rPr>
          <w:b/>
          <w:bCs/>
        </w:rPr>
        <w:t>•</w:t>
      </w:r>
      <w:r>
        <w:tab/>
      </w:r>
      <w:r>
        <w:rPr>
          <w:b/>
          <w:bCs/>
          <w:i w:val="0"/>
          <w:iCs w:val="0"/>
        </w:rPr>
        <w:t>政策贡献</w:t>
      </w:r>
      <w:r>
        <w:rPr>
          <w:b w:val="0"/>
          <w:bCs w:val="0"/>
          <w:i w:val="0"/>
          <w:iCs w:val="0"/>
        </w:rPr>
        <w:t>：</w:t>
      </w:r>
    </w:p>
    <w:p w14:paraId="4EEE917E">
      <w:pPr>
        <w:jc w:val="center"/>
        <w:rPr>
          <w:color w:val="999999"/>
        </w:rPr>
      </w:pPr>
      <w:r>
        <w:rPr>
          <w:color w:val="999999"/>
        </w:rPr>
        <w:t>──────────────────────────────────────────────────</w:t>
      </w:r>
    </w:p>
    <w:p w14:paraId="4067A417">
      <w:pPr>
        <w:rPr>
          <w:color w:val="999999"/>
        </w:rPr>
      </w:pPr>
      <w:r>
        <w:rPr>
          <w:color w:val="999999"/>
        </w:rPr>
        <w:br w:type="page"/>
      </w:r>
    </w:p>
    <w:p w14:paraId="27F12637">
      <w:pPr>
        <w:jc w:val="center"/>
        <w:rPr>
          <w:color w:val="999999"/>
        </w:rPr>
      </w:pPr>
    </w:p>
    <w:p w14:paraId="1BC7A839">
      <w:pPr>
        <w:jc w:val="center"/>
        <w:rPr>
          <w:color w:val="999999"/>
        </w:rPr>
      </w:pPr>
    </w:p>
    <w:p w14:paraId="76D2ED1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both"/>
        <w:textAlignment w:val="auto"/>
        <w:rPr>
          <w:rFonts w:hint="eastAsia" w:ascii="楷体" w:hAnsi="楷体" w:eastAsia="楷体" w:cs="楷体"/>
          <w:b/>
          <w:bCs/>
          <w:color w:val="C00000"/>
          <w:kern w:val="2"/>
          <w:sz w:val="28"/>
          <w:szCs w:val="28"/>
          <w:lang w:val="en-US" w:eastAsia="zh-CN" w:bidi="ar-SA"/>
        </w:rPr>
      </w:pPr>
      <w:commentRangeStart w:id="1"/>
      <w:r>
        <w:rPr>
          <w:rFonts w:hint="eastAsia" w:ascii="楷体" w:hAnsi="楷体" w:eastAsia="楷体" w:cs="楷体"/>
          <w:b/>
          <w:bCs/>
          <w:color w:val="C00000"/>
          <w:kern w:val="2"/>
          <w:sz w:val="28"/>
          <w:szCs w:val="28"/>
          <w:lang w:val="en-US" w:eastAsia="zh-CN" w:bidi="ar-SA"/>
        </w:rPr>
        <w:t xml:space="preserve"> 制度背景与理论分析</w:t>
      </w:r>
      <w:commentRangeEnd w:id="1"/>
      <w:r>
        <w:commentReference w:id="1"/>
      </w:r>
    </w:p>
    <w:p w14:paraId="0530711B">
      <w:pPr>
        <w:ind w:left="0"/>
      </w:pPr>
      <w:r>
        <w:rPr>
          <w:rFonts w:hint="eastAsia" w:eastAsia="宋体"/>
          <w:b/>
          <w:bCs/>
          <w:i w:val="0"/>
          <w:iCs w:val="0"/>
          <w:lang w:eastAsia="zh-CN"/>
        </w:rPr>
        <w:t>（</w:t>
      </w:r>
      <w:r>
        <w:rPr>
          <w:rFonts w:hint="eastAsia" w:eastAsia="宋体"/>
          <w:b/>
          <w:bCs/>
          <w:i w:val="0"/>
          <w:iCs w:val="0"/>
          <w:lang w:val="en-US" w:eastAsia="zh-CN"/>
        </w:rPr>
        <w:t>1</w:t>
      </w:r>
      <w:r>
        <w:rPr>
          <w:rFonts w:hint="eastAsia" w:eastAsia="宋体"/>
          <w:b/>
          <w:bCs/>
          <w:i w:val="0"/>
          <w:iCs w:val="0"/>
          <w:lang w:eastAsia="zh-CN"/>
        </w:rPr>
        <w:t>）</w:t>
      </w:r>
      <w:r>
        <w:rPr>
          <w:b/>
          <w:bCs/>
          <w:i w:val="0"/>
          <w:iCs w:val="0"/>
        </w:rPr>
        <w:t>制度背景</w:t>
      </w:r>
      <w:r>
        <w:rPr>
          <w:b w:val="0"/>
          <w:bCs w:val="0"/>
          <w:i w:val="0"/>
          <w:iCs w:val="0"/>
        </w:rPr>
        <w:t>：</w:t>
      </w:r>
    </w:p>
    <w:p w14:paraId="797D844C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详细介绍新“国九条”及《股票上市规则》中关于“回购注销计入现金分红”的具体条款。</w:t>
      </w:r>
    </w:p>
    <w:p w14:paraId="5934C0DF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分析该条款出台的政策意图：旨在鼓励上市公司加强股东回报，提高分红的灵活性和连续性。</w:t>
      </w:r>
    </w:p>
    <w:p w14:paraId="27072FE3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强调这一变革的实质：在监管层面正式建立了注销式回购与现金分红的</w:t>
      </w:r>
      <w:r>
        <w:rPr>
          <w:b/>
          <w:bCs/>
          <w:i w:val="0"/>
          <w:iCs w:val="0"/>
        </w:rPr>
        <w:t>等价渠道</w:t>
      </w:r>
      <w:r>
        <w:rPr>
          <w:b w:val="0"/>
          <w:bCs w:val="0"/>
          <w:i w:val="0"/>
          <w:iCs w:val="0"/>
        </w:rPr>
        <w:t>，为公司满足分红要求提供了新的选择。</w:t>
      </w:r>
    </w:p>
    <w:p w14:paraId="25DF2ACE">
      <w:pPr>
        <w:ind w:left="0"/>
      </w:pPr>
      <w:r>
        <w:rPr>
          <w:rFonts w:hint="eastAsia" w:eastAsia="宋体"/>
          <w:b/>
          <w:bCs/>
          <w:lang w:eastAsia="zh-CN"/>
        </w:rPr>
        <w:t>（</w:t>
      </w:r>
      <w:r>
        <w:rPr>
          <w:rFonts w:hint="eastAsia" w:eastAsia="宋体"/>
          <w:b/>
          <w:bCs/>
          <w:lang w:val="en-US" w:eastAsia="zh-CN"/>
        </w:rPr>
        <w:t>2</w:t>
      </w:r>
      <w:r>
        <w:rPr>
          <w:rFonts w:hint="eastAsia" w:eastAsia="宋体"/>
          <w:b/>
          <w:bCs/>
          <w:lang w:eastAsia="zh-CN"/>
        </w:rPr>
        <w:t>）</w:t>
      </w:r>
      <w:r>
        <w:rPr>
          <w:b/>
          <w:bCs/>
          <w:i w:val="0"/>
          <w:iCs w:val="0"/>
        </w:rPr>
        <w:t>理论分析与研究假说</w:t>
      </w:r>
      <w:r>
        <w:rPr>
          <w:b w:val="0"/>
          <w:bCs w:val="0"/>
          <w:i w:val="0"/>
          <w:iCs w:val="0"/>
        </w:rPr>
        <w:t>：</w:t>
      </w:r>
    </w:p>
    <w:p w14:paraId="7E1E12AD">
      <w:pPr>
        <w:ind w:left="720"/>
        <w:rPr>
          <w:rFonts w:hint="eastAsia" w:eastAsia="宋体"/>
          <w:lang w:val="en-US" w:eastAsia="zh-CN"/>
        </w:rPr>
      </w:pPr>
      <w:r>
        <w:rPr>
          <w:b/>
          <w:bCs/>
          <w:i w:val="0"/>
          <w:iCs w:val="0"/>
        </w:rPr>
        <w:t>经典理论回顾</w:t>
      </w:r>
      <w:r>
        <w:rPr>
          <w:b w:val="0"/>
          <w:bCs w:val="0"/>
          <w:i w:val="0"/>
          <w:iCs w:val="0"/>
        </w:rPr>
        <w:t>：</w:t>
      </w:r>
      <w:r>
        <w:rPr>
          <w:rFonts w:hint="eastAsia" w:eastAsia="宋体"/>
          <w:b w:val="0"/>
          <w:bCs w:val="0"/>
          <w:i w:val="0"/>
          <w:iCs w:val="0"/>
          <w:lang w:eastAsia="zh-CN"/>
        </w:rPr>
        <w:t>（</w:t>
      </w:r>
      <w:r>
        <w:rPr>
          <w:rFonts w:hint="eastAsia" w:eastAsia="宋体"/>
          <w:b w:val="0"/>
          <w:bCs w:val="0"/>
          <w:i w:val="0"/>
          <w:iCs w:val="0"/>
          <w:color w:val="C00000"/>
          <w:lang w:val="en-US" w:eastAsia="zh-CN"/>
        </w:rPr>
        <w:t>多找点文献什么的讲讲，做的时候记得加好尾注</w:t>
      </w:r>
      <w:r>
        <w:rPr>
          <w:rFonts w:hint="eastAsia" w:eastAsia="宋体"/>
          <w:b w:val="0"/>
          <w:bCs w:val="0"/>
          <w:i w:val="0"/>
          <w:iCs w:val="0"/>
          <w:lang w:eastAsia="zh-CN"/>
        </w:rPr>
        <w:t>）</w:t>
      </w:r>
    </w:p>
    <w:p w14:paraId="7F317CEE">
      <w:pPr>
        <w:ind w:left="720"/>
      </w:pPr>
      <w:r>
        <w:rPr>
          <w:b/>
          <w:bCs/>
        </w:rPr>
        <w:t>•</w:t>
      </w:r>
      <w:r>
        <w:tab/>
      </w:r>
      <w:r>
        <w:rPr>
          <w:b/>
          <w:bCs/>
          <w:i w:val="0"/>
          <w:iCs w:val="0"/>
        </w:rPr>
        <w:t xml:space="preserve">信号传递理论 </w:t>
      </w:r>
      <w:r>
        <w:rPr>
          <w:b w:val="0"/>
          <w:bCs w:val="0"/>
          <w:i w:val="0"/>
          <w:iCs w:val="0"/>
        </w:rPr>
        <w:t>：管理层利用信息优势，通过回购向市场传递内部信息，核心是“股价低估”。</w:t>
      </w:r>
    </w:p>
    <w:p w14:paraId="15E5D262">
      <w:pPr>
        <w:ind w:left="720"/>
      </w:pPr>
      <w:r>
        <w:rPr>
          <w:b/>
          <w:bCs/>
        </w:rPr>
        <w:t>•</w:t>
      </w:r>
      <w:r>
        <w:tab/>
      </w:r>
      <w:r>
        <w:rPr>
          <w:b/>
          <w:bCs/>
          <w:i w:val="0"/>
          <w:iCs w:val="0"/>
        </w:rPr>
        <w:t>自由现金流理论</w:t>
      </w:r>
      <w:r>
        <w:rPr>
          <w:b w:val="0"/>
          <w:bCs w:val="0"/>
          <w:i w:val="0"/>
          <w:iCs w:val="0"/>
        </w:rPr>
        <w:t>：回购是向股东返还多余现金、减少代理成本的方式。</w:t>
      </w:r>
    </w:p>
    <w:p w14:paraId="02F94D31">
      <w:pPr>
        <w:ind w:left="720"/>
      </w:pPr>
      <w:r>
        <w:rPr>
          <w:b/>
          <w:bCs/>
        </w:rPr>
        <w:t>•</w:t>
      </w:r>
      <w:r>
        <w:tab/>
      </w:r>
      <w:r>
        <w:rPr>
          <w:b/>
          <w:bCs/>
          <w:i w:val="0"/>
          <w:iCs w:val="0"/>
        </w:rPr>
        <w:t>资本结构理论</w:t>
      </w:r>
      <w:r>
        <w:rPr>
          <w:b w:val="0"/>
          <w:bCs w:val="0"/>
          <w:i w:val="0"/>
          <w:iCs w:val="0"/>
        </w:rPr>
        <w:t>：回购作为调整公司杠杆和资本结构的工具。</w:t>
      </w:r>
    </w:p>
    <w:p w14:paraId="2335B855">
      <w:pPr>
        <w:ind w:left="720"/>
      </w:pPr>
      <w:r>
        <w:rPr>
          <w:b/>
          <w:bCs/>
          <w:i w:val="0"/>
          <w:iCs w:val="0"/>
        </w:rPr>
        <w:t>政策冲击下的动机演变</w:t>
      </w:r>
      <w:r>
        <w:rPr>
          <w:b w:val="0"/>
          <w:bCs w:val="0"/>
          <w:i w:val="0"/>
          <w:iCs w:val="0"/>
        </w:rPr>
        <w:t>：</w:t>
      </w:r>
    </w:p>
    <w:p w14:paraId="51BB38FE">
      <w:pPr>
        <w:ind w:left="720"/>
      </w:pPr>
      <w:r>
        <w:rPr>
          <w:b/>
          <w:bCs/>
        </w:rPr>
        <w:t>•</w:t>
      </w:r>
      <w:r>
        <w:tab/>
      </w:r>
      <w:r>
        <w:rPr>
          <w:b/>
          <w:bCs/>
          <w:i w:val="0"/>
          <w:iCs w:val="0"/>
        </w:rPr>
        <w:t>政策前</w:t>
      </w:r>
      <w:r>
        <w:rPr>
          <w:b w:val="0"/>
          <w:bCs w:val="0"/>
          <w:i w:val="0"/>
          <w:iCs w:val="0"/>
        </w:rPr>
        <w:t>：注销式回购的主要动机更偏向于传递“估值信号”。</w:t>
      </w:r>
    </w:p>
    <w:p w14:paraId="4E76F2A2">
      <w:pPr>
        <w:ind w:left="720"/>
      </w:pPr>
      <w:r>
        <w:rPr>
          <w:b/>
          <w:bCs/>
        </w:rPr>
        <w:t>•</w:t>
      </w:r>
      <w:r>
        <w:tab/>
      </w:r>
      <w:r>
        <w:rPr>
          <w:b/>
          <w:bCs/>
          <w:i w:val="0"/>
          <w:iCs w:val="0"/>
        </w:rPr>
        <w:t>政策后</w:t>
      </w:r>
      <w:r>
        <w:rPr>
          <w:b w:val="0"/>
          <w:bCs w:val="0"/>
          <w:i w:val="0"/>
          <w:iCs w:val="0"/>
        </w:rPr>
        <w:t>：回购的动机变得**“模糊”</w:t>
      </w:r>
      <w:r>
        <w:rPr>
          <w:b/>
          <w:bCs/>
          <w:i w:val="0"/>
          <w:iCs w:val="0"/>
        </w:rPr>
        <w:t>。公司发布回购公告，可能是因为管理层认为股价被低估（传统动机），也可能</w:t>
      </w:r>
      <w:r>
        <w:rPr>
          <w:b w:val="0"/>
          <w:bCs w:val="0"/>
          <w:i w:val="0"/>
          <w:iCs w:val="0"/>
        </w:rPr>
        <w:t>仅仅是为了满足年度分红达标的要求**（新增的“分红替代”动机）。</w:t>
      </w:r>
    </w:p>
    <w:p w14:paraId="4144C7B7">
      <w:pPr>
        <w:ind w:left="720"/>
      </w:pPr>
      <w:r>
        <w:rPr>
          <w:b/>
          <w:bCs/>
          <w:i w:val="0"/>
          <w:iCs w:val="0"/>
        </w:rPr>
        <w:t>提出核心假说</w:t>
      </w:r>
      <w:r>
        <w:rPr>
          <w:b w:val="0"/>
          <w:bCs w:val="0"/>
          <w:i w:val="0"/>
          <w:iCs w:val="0"/>
        </w:rPr>
        <w:t>：</w:t>
      </w:r>
    </w:p>
    <w:p w14:paraId="07179AA5">
      <w:pPr>
        <w:ind w:left="720"/>
        <w:rPr>
          <w:b w:val="0"/>
          <w:bCs w:val="0"/>
          <w:i w:val="0"/>
          <w:iCs w:val="0"/>
        </w:rPr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当市场无法清晰分辨公告背后的真实动机时，回购的信号价值就会被“噪声”（即那些仅为分红而回购的公司）所稀释。</w:t>
      </w:r>
    </w:p>
    <w:p w14:paraId="2B41CDA8">
      <w:pPr>
        <w:ind w:left="720"/>
      </w:pPr>
      <w:r>
        <w:rPr>
          <w:b/>
          <w:bCs/>
        </w:rPr>
        <w:t>•</w:t>
      </w:r>
      <w:r>
        <w:tab/>
      </w:r>
      <w:r>
        <w:rPr>
          <w:b/>
          <w:bCs/>
          <w:i w:val="0"/>
          <w:iCs w:val="0"/>
        </w:rPr>
        <w:t>H1：相比政策实施前，政策实施后发布的注销式回购公告，其短期超额收益（CAR）显著降低。</w:t>
      </w:r>
    </w:p>
    <w:p w14:paraId="5137F795">
      <w:pPr>
        <w:jc w:val="center"/>
      </w:pPr>
      <w:r>
        <w:rPr>
          <w:color w:val="999999"/>
        </w:rPr>
        <w:t>──────────────────────────────────────────────────</w:t>
      </w:r>
    </w:p>
    <w:p w14:paraId="532E85E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both"/>
        <w:textAlignment w:val="auto"/>
        <w:rPr>
          <w:rFonts w:hint="eastAsia" w:ascii="楷体" w:hAnsi="楷体" w:eastAsia="楷体" w:cs="楷体"/>
          <w:b/>
          <w:bCs/>
          <w:color w:val="C00000"/>
          <w:kern w:val="2"/>
          <w:sz w:val="28"/>
          <w:szCs w:val="28"/>
          <w:lang w:val="en-US" w:eastAsia="zh-CN" w:bidi="ar-SA"/>
        </w:rPr>
      </w:pPr>
      <w:r>
        <w:rPr>
          <w:rFonts w:hint="eastAsia" w:ascii="楷体" w:hAnsi="楷体" w:eastAsia="楷体" w:cs="楷体"/>
          <w:b/>
          <w:bCs/>
          <w:color w:val="C00000"/>
          <w:kern w:val="2"/>
          <w:sz w:val="28"/>
          <w:szCs w:val="28"/>
          <w:lang w:val="en-US" w:eastAsia="zh-CN" w:bidi="ar-SA"/>
        </w:rPr>
        <w:t>研究设计</w:t>
      </w:r>
    </w:p>
    <w:p w14:paraId="6118C2DF">
      <w:pPr>
        <w:ind w:left="0"/>
      </w:pPr>
      <w:r>
        <w:rPr>
          <w:rFonts w:hint="eastAsia" w:eastAsia="宋体"/>
          <w:b/>
          <w:bCs/>
          <w:i w:val="0"/>
          <w:iCs w:val="0"/>
          <w:lang w:eastAsia="zh-CN"/>
        </w:rPr>
        <w:t>（</w:t>
      </w:r>
      <w:r>
        <w:rPr>
          <w:rFonts w:hint="eastAsia" w:eastAsia="宋体"/>
          <w:b/>
          <w:bCs/>
          <w:i w:val="0"/>
          <w:iCs w:val="0"/>
          <w:lang w:val="en-US" w:eastAsia="zh-CN"/>
        </w:rPr>
        <w:t>1</w:t>
      </w:r>
      <w:r>
        <w:rPr>
          <w:rFonts w:hint="eastAsia" w:eastAsia="宋体"/>
          <w:b/>
          <w:bCs/>
          <w:i w:val="0"/>
          <w:iCs w:val="0"/>
          <w:lang w:eastAsia="zh-CN"/>
        </w:rPr>
        <w:t>）</w:t>
      </w:r>
      <w:r>
        <w:rPr>
          <w:b/>
          <w:bCs/>
          <w:i w:val="0"/>
          <w:iCs w:val="0"/>
        </w:rPr>
        <w:t>样本选择与数据来源</w:t>
      </w:r>
      <w:r>
        <w:rPr>
          <w:b w:val="0"/>
          <w:bCs w:val="0"/>
          <w:i w:val="0"/>
          <w:iCs w:val="0"/>
        </w:rPr>
        <w:t>：</w:t>
      </w:r>
    </w:p>
    <w:p w14:paraId="51D4D698">
      <w:pPr>
        <w:ind w:left="720"/>
      </w:pPr>
      <w:r>
        <w:rPr>
          <w:b/>
          <w:bCs/>
        </w:rPr>
        <w:t>•</w:t>
      </w:r>
      <w:r>
        <w:tab/>
      </w:r>
      <w:r>
        <w:rPr>
          <w:b/>
          <w:bCs/>
          <w:i w:val="0"/>
          <w:iCs w:val="0"/>
        </w:rPr>
        <w:t>研究样本</w:t>
      </w:r>
      <w:r>
        <w:rPr>
          <w:b w:val="0"/>
          <w:bCs w:val="0"/>
          <w:i w:val="0"/>
          <w:iCs w:val="0"/>
        </w:rPr>
        <w:t>：</w:t>
      </w:r>
    </w:p>
    <w:p w14:paraId="7AF3250C">
      <w:pPr>
        <w:ind w:left="720"/>
        <w:rPr>
          <w:b w:val="0"/>
          <w:bCs w:val="0"/>
          <w:i w:val="0"/>
          <w:iCs w:val="0"/>
        </w:rPr>
      </w:pPr>
      <w:r>
        <w:rPr>
          <w:b/>
          <w:bCs/>
        </w:rPr>
        <w:t>•</w:t>
      </w:r>
      <w:r>
        <w:tab/>
      </w:r>
      <w:r>
        <w:rPr>
          <w:b/>
          <w:bCs/>
          <w:i w:val="0"/>
          <w:iCs w:val="0"/>
        </w:rPr>
        <w:t>数据来源</w:t>
      </w:r>
      <w:r>
        <w:rPr>
          <w:b w:val="0"/>
          <w:bCs w:val="0"/>
          <w:i w:val="0"/>
          <w:iCs w:val="0"/>
        </w:rPr>
        <w:t>：</w:t>
      </w:r>
    </w:p>
    <w:p w14:paraId="0DAC48BA">
      <w:pPr>
        <w:ind w:left="720"/>
      </w:pPr>
      <w:r>
        <w:rPr>
          <w:b/>
          <w:bCs/>
        </w:rPr>
        <w:t>•</w:t>
      </w:r>
      <w:r>
        <w:tab/>
      </w:r>
      <w:r>
        <w:rPr>
          <w:b/>
          <w:bCs/>
          <w:i w:val="0"/>
          <w:iCs w:val="0"/>
        </w:rPr>
        <w:t>样本处理</w:t>
      </w:r>
      <w:r>
        <w:rPr>
          <w:b w:val="0"/>
          <w:bCs w:val="0"/>
          <w:i w:val="0"/>
          <w:iCs w:val="0"/>
        </w:rPr>
        <w:t>：</w:t>
      </w:r>
    </w:p>
    <w:p w14:paraId="55A1CA6F">
      <w:pPr>
        <w:numPr>
          <w:ilvl w:val="0"/>
          <w:numId w:val="2"/>
        </w:numPr>
        <w:ind w:left="0"/>
        <w:rPr>
          <w:b w:val="0"/>
          <w:bCs w:val="0"/>
          <w:i w:val="0"/>
          <w:iCs w:val="0"/>
        </w:rPr>
      </w:pPr>
      <w:r>
        <w:rPr>
          <w:b/>
          <w:bCs/>
          <w:i w:val="0"/>
          <w:iCs w:val="0"/>
        </w:rPr>
        <w:t>模型设定</w:t>
      </w:r>
      <w:r>
        <w:rPr>
          <w:b w:val="0"/>
          <w:bCs w:val="0"/>
          <w:i w:val="0"/>
          <w:iCs w:val="0"/>
        </w:rPr>
        <w:t>：</w:t>
      </w:r>
    </w:p>
    <w:p w14:paraId="7B311602">
      <w:pPr>
        <w:numPr>
          <w:numId w:val="0"/>
        </w:numPr>
        <w:rPr>
          <w:rFonts w:hAnsi="DejaVu Math TeX Gyre" w:eastAsiaTheme="minorEastAsia"/>
          <w:i w:val="0"/>
          <w:sz w:val="21"/>
        </w:rPr>
      </w:pPr>
      <m:oMathPara>
        <m:oMathParaPr>
          <m:jc m:val="left"/>
        </m:oMathParaPr>
        <m:oMath>
          <m:r>
            <m:rPr/>
            <w:rPr>
              <w:rFonts w:hint="default" w:ascii="DejaVu Math TeX Gyre" w:hAnsi="DejaVu Math TeX Gyre" w:eastAsiaTheme="minorEastAsia"/>
              <w:sz w:val="21"/>
            </w:rPr>
            <m:t>Ca</m:t>
          </m:r>
          <m:sSub>
            <m:sSubPr>
              <m:ctrlPr>
                <w:rPr>
                  <w:rFonts w:hint="default" w:ascii="DejaVu Math TeX Gyre" w:hAnsi="DejaVu Math TeX Gyre" w:eastAsiaTheme="minorEastAsia"/>
                  <w:sz w:val="21"/>
                </w:rPr>
              </m:ctrlPr>
            </m:sSubPr>
            <m:e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r</m:t>
              </m:r>
              <m:ctrlPr>
                <w:rPr>
                  <w:rFonts w:ascii="DejaVu Math TeX Gyre" w:hAnsi="DejaVu Math TeX Gyre" w:eastAsiaTheme="minorEastAsia"/>
                  <w:sz w:val="21"/>
                </w:rPr>
              </m:ctrlPr>
            </m:e>
            <m:sub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it</m:t>
              </m:r>
              <m:ctrlPr>
                <w:rPr>
                  <w:rFonts w:ascii="DejaVu Math TeX Gyre" w:hAnsi="DejaVu Math TeX Gyre" w:eastAsiaTheme="minorEastAsia"/>
                  <w:sz w:val="21"/>
                </w:rPr>
              </m:ctrlPr>
            </m:sub>
          </m:sSub>
          <m:r>
            <m:rPr/>
            <w:rPr>
              <w:rFonts w:hint="default" w:ascii="DejaVu Math TeX Gyre" w:hAnsi="DejaVu Math TeX Gyre" w:eastAsiaTheme="minorEastAsia"/>
              <w:sz w:val="21"/>
            </w:rPr>
            <m:t>=α+</m:t>
          </m:r>
          <m:sSub>
            <m:sSubPr>
              <m:ctrlPr>
                <w:rPr>
                  <w:rFonts w:hint="default" w:ascii="DejaVu Math TeX Gyre" w:hAnsi="DejaVu Math TeX Gyre" w:eastAsiaTheme="minorEastAsia"/>
                  <w:sz w:val="21"/>
                </w:rPr>
              </m:ctrlPr>
            </m:sSubPr>
            <m:e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β</m:t>
              </m:r>
              <m:ctrlPr>
                <w:rPr>
                  <w:rFonts w:ascii="DejaVu Math TeX Gyre" w:hAnsi="DejaVu Math TeX Gyre" w:eastAsiaTheme="minorEastAsia"/>
                  <w:sz w:val="21"/>
                </w:rPr>
              </m:ctrlPr>
            </m:e>
            <m:sub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1</m:t>
              </m:r>
              <m:ctrlPr>
                <w:rPr>
                  <w:rFonts w:ascii="DejaVu Math TeX Gyre" w:hAnsi="DejaVu Math TeX Gyre" w:eastAsiaTheme="minorEastAsia"/>
                  <w:sz w:val="21"/>
                </w:rPr>
              </m:ctrlPr>
            </m:sub>
          </m:sSub>
          <m:r>
            <m:rPr/>
            <w:rPr>
              <w:rFonts w:hint="default" w:ascii="DejaVu Math TeX Gyre" w:hAnsi="DejaVu Math TeX Gyre" w:eastAsiaTheme="minorEastAsia"/>
              <w:sz w:val="21"/>
            </w:rPr>
            <m:t>∗Trea</m:t>
          </m:r>
          <m:sSub>
            <m:sSubPr>
              <m:ctrlPr>
                <w:rPr>
                  <w:rFonts w:hint="default" w:ascii="DejaVu Math TeX Gyre" w:hAnsi="DejaVu Math TeX Gyre" w:eastAsiaTheme="minorEastAsia"/>
                  <w:sz w:val="21"/>
                </w:rPr>
              </m:ctrlPr>
            </m:sSubPr>
            <m:e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t</m:t>
              </m:r>
              <m:ctrlPr>
                <w:rPr>
                  <w:rFonts w:ascii="DejaVu Math TeX Gyre" w:hAnsi="DejaVu Math TeX Gyre" w:eastAsiaTheme="minorEastAsia"/>
                  <w:sz w:val="21"/>
                </w:rPr>
              </m:ctrlPr>
            </m:e>
            <m:sub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it</m:t>
              </m:r>
              <m:ctrlPr>
                <w:rPr>
                  <w:rFonts w:ascii="DejaVu Math TeX Gyre" w:hAnsi="DejaVu Math TeX Gyre" w:eastAsiaTheme="minorEastAsia"/>
                  <w:sz w:val="21"/>
                </w:rPr>
              </m:ctrlPr>
            </m:sub>
          </m:sSub>
          <m:r>
            <m:rPr/>
            <w:rPr>
              <w:rFonts w:hint="default" w:ascii="DejaVu Math TeX Gyre" w:hAnsi="DejaVu Math TeX Gyre" w:eastAsiaTheme="minorEastAsia"/>
              <w:sz w:val="21"/>
            </w:rPr>
            <m:t>+</m:t>
          </m:r>
          <m:sSub>
            <m:sSubPr>
              <m:ctrlPr>
                <w:rPr>
                  <w:rFonts w:hint="default" w:ascii="DejaVu Math TeX Gyre" w:hAnsi="DejaVu Math TeX Gyre" w:eastAsiaTheme="minorEastAsia"/>
                  <w:sz w:val="21"/>
                </w:rPr>
              </m:ctrlPr>
            </m:sSubPr>
            <m:e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β</m:t>
              </m:r>
              <m:ctrlPr>
                <w:rPr>
                  <w:rFonts w:ascii="DejaVu Math TeX Gyre" w:hAnsi="DejaVu Math TeX Gyre" w:eastAsiaTheme="minorEastAsia"/>
                  <w:sz w:val="21"/>
                </w:rPr>
              </m:ctrlPr>
            </m:e>
            <m:sub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2</m:t>
              </m:r>
              <m:ctrlPr>
                <w:rPr>
                  <w:rFonts w:ascii="DejaVu Math TeX Gyre" w:hAnsi="DejaVu Math TeX Gyre" w:eastAsiaTheme="minorEastAsia"/>
                  <w:sz w:val="21"/>
                </w:rPr>
              </m:ctrlPr>
            </m:sub>
          </m:sSub>
          <m:r>
            <m:rPr/>
            <w:rPr>
              <w:rFonts w:hint="default" w:ascii="DejaVu Math TeX Gyre" w:hAnsi="DejaVu Math TeX Gyre" w:eastAsiaTheme="minorEastAsia"/>
              <w:sz w:val="21"/>
            </w:rPr>
            <m:t>∗Pos</m:t>
          </m:r>
          <m:sSub>
            <m:sSubPr>
              <m:ctrlPr>
                <w:rPr>
                  <w:rFonts w:hint="default" w:ascii="DejaVu Math TeX Gyre" w:hAnsi="DejaVu Math TeX Gyre" w:eastAsiaTheme="minorEastAsia"/>
                  <w:sz w:val="21"/>
                </w:rPr>
              </m:ctrlPr>
            </m:sSubPr>
            <m:e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t</m:t>
              </m:r>
              <m:ctrlPr>
                <w:rPr>
                  <w:rFonts w:ascii="DejaVu Math TeX Gyre" w:hAnsi="DejaVu Math TeX Gyre" w:eastAsiaTheme="minorEastAsia"/>
                  <w:sz w:val="21"/>
                </w:rPr>
              </m:ctrlPr>
            </m:e>
            <m:sub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it</m:t>
              </m:r>
              <m:ctrlPr>
                <w:rPr>
                  <w:rFonts w:ascii="DejaVu Math TeX Gyre" w:hAnsi="DejaVu Math TeX Gyre" w:eastAsiaTheme="minorEastAsia"/>
                  <w:sz w:val="21"/>
                </w:rPr>
              </m:ctrlPr>
            </m:sub>
          </m:sSub>
          <m:r>
            <m:rPr/>
            <w:rPr>
              <w:rFonts w:hint="default" w:ascii="DejaVu Math TeX Gyre" w:hAnsi="DejaVu Math TeX Gyre" w:eastAsiaTheme="minorEastAsia"/>
              <w:sz w:val="21"/>
            </w:rPr>
            <m:t>+</m:t>
          </m:r>
          <m:sSub>
            <m:sSubPr>
              <m:ctrlPr>
                <w:rPr>
                  <w:rFonts w:hint="default" w:ascii="DejaVu Math TeX Gyre" w:hAnsi="DejaVu Math TeX Gyre" w:eastAsiaTheme="minorEastAsia"/>
                  <w:sz w:val="21"/>
                </w:rPr>
              </m:ctrlPr>
            </m:sSubPr>
            <m:e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β</m:t>
              </m:r>
              <m:ctrlPr>
                <w:rPr>
                  <w:rFonts w:ascii="DejaVu Math TeX Gyre" w:hAnsi="DejaVu Math TeX Gyre" w:eastAsiaTheme="minorEastAsia"/>
                  <w:sz w:val="21"/>
                </w:rPr>
              </m:ctrlPr>
            </m:e>
            <m:sub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3</m:t>
              </m:r>
              <m:ctrlPr>
                <w:rPr>
                  <w:rFonts w:ascii="DejaVu Math TeX Gyre" w:hAnsi="DejaVu Math TeX Gyre" w:eastAsiaTheme="minorEastAsia"/>
                  <w:sz w:val="21"/>
                </w:rPr>
              </m:ctrlPr>
            </m:sub>
          </m:sSub>
          <m:r>
            <m:rPr/>
            <w:rPr>
              <w:rFonts w:hint="default" w:ascii="DejaVu Math TeX Gyre" w:hAnsi="DejaVu Math TeX Gyre" w:eastAsiaTheme="minorEastAsia"/>
              <w:sz w:val="21"/>
            </w:rPr>
            <m:t>∗Trea</m:t>
          </m:r>
          <m:sSub>
            <m:sSubPr>
              <m:ctrlPr>
                <w:rPr>
                  <w:rFonts w:hint="default" w:ascii="DejaVu Math TeX Gyre" w:hAnsi="DejaVu Math TeX Gyre" w:eastAsiaTheme="minorEastAsia"/>
                  <w:sz w:val="21"/>
                </w:rPr>
              </m:ctrlPr>
            </m:sSubPr>
            <m:e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t</m:t>
              </m:r>
              <m:ctrlPr>
                <w:rPr>
                  <w:rFonts w:ascii="DejaVu Math TeX Gyre" w:hAnsi="DejaVu Math TeX Gyre" w:eastAsiaTheme="minorEastAsia"/>
                  <w:sz w:val="21"/>
                </w:rPr>
              </m:ctrlPr>
            </m:e>
            <m:sub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it</m:t>
              </m:r>
              <m:ctrlPr>
                <w:rPr>
                  <w:rFonts w:ascii="DejaVu Math TeX Gyre" w:hAnsi="DejaVu Math TeX Gyre" w:eastAsiaTheme="minorEastAsia"/>
                  <w:sz w:val="21"/>
                </w:rPr>
              </m:ctrlPr>
            </m:sub>
          </m:sSub>
          <m:r>
            <m:rPr/>
            <w:rPr>
              <w:rFonts w:hint="default" w:ascii="DejaVu Math TeX Gyre" w:hAnsi="DejaVu Math TeX Gyre" w:eastAsiaTheme="minorEastAsia"/>
              <w:sz w:val="21"/>
            </w:rPr>
            <m:t>∗Pos</m:t>
          </m:r>
          <m:sSub>
            <m:sSubPr>
              <m:ctrlPr>
                <w:rPr>
                  <w:rFonts w:hint="default" w:ascii="DejaVu Math TeX Gyre" w:hAnsi="DejaVu Math TeX Gyre" w:eastAsiaTheme="minorEastAsia"/>
                  <w:sz w:val="21"/>
                </w:rPr>
              </m:ctrlPr>
            </m:sSubPr>
            <m:e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t</m:t>
              </m:r>
              <m:ctrlPr>
                <w:rPr>
                  <w:rFonts w:ascii="DejaVu Math TeX Gyre" w:hAnsi="DejaVu Math TeX Gyre" w:eastAsiaTheme="minorEastAsia"/>
                  <w:sz w:val="21"/>
                </w:rPr>
              </m:ctrlPr>
            </m:e>
            <m:sub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it</m:t>
              </m:r>
              <m:ctrlPr>
                <w:rPr>
                  <w:rFonts w:ascii="DejaVu Math TeX Gyre" w:hAnsi="DejaVu Math TeX Gyre" w:eastAsiaTheme="minorEastAsia"/>
                  <w:sz w:val="21"/>
                </w:rPr>
              </m:ctrlPr>
            </m:sub>
          </m:sSub>
          <m:r>
            <m:rPr/>
            <w:rPr>
              <w:rFonts w:hint="default" w:ascii="DejaVu Math TeX Gyre" w:hAnsi="DejaVu Math TeX Gyre" w:eastAsiaTheme="minorEastAsia"/>
              <w:sz w:val="21"/>
            </w:rPr>
            <m:t>+γ∗</m:t>
          </m:r>
          <m:sSub>
            <m:sSubPr>
              <m:ctrlPr>
                <w:rPr>
                  <w:rFonts w:hint="default" w:ascii="DejaVu Math TeX Gyre" w:hAnsi="DejaVu Math TeX Gyre" w:eastAsiaTheme="minorEastAsia"/>
                  <w:sz w:val="21"/>
                </w:rPr>
              </m:ctrlPr>
            </m:sSubPr>
            <m:e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Q</m:t>
              </m:r>
              <m:ctrlPr>
                <w:rPr>
                  <w:rFonts w:ascii="DejaVu Math TeX Gyre" w:hAnsi="DejaVu Math TeX Gyre" w:eastAsiaTheme="minorEastAsia"/>
                  <w:sz w:val="21"/>
                </w:rPr>
              </m:ctrlPr>
            </m:e>
            <m:sub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it</m:t>
              </m:r>
              <m:ctrlPr>
                <w:rPr>
                  <w:rFonts w:ascii="DejaVu Math TeX Gyre" w:hAnsi="DejaVu Math TeX Gyre" w:eastAsiaTheme="minorEastAsia"/>
                  <w:sz w:val="21"/>
                </w:rPr>
              </m:ctrlPr>
            </m:sub>
          </m:sSub>
          <m:r>
            <m:rPr/>
            <w:rPr>
              <w:rFonts w:hint="default" w:ascii="DejaVu Math TeX Gyre" w:hAnsi="DejaVu Math TeX Gyre" w:eastAsiaTheme="minorEastAsia"/>
              <w:sz w:val="21"/>
            </w:rPr>
            <m:t>+</m:t>
          </m:r>
          <m:sSub>
            <m:sSubPr>
              <m:ctrlPr>
                <w:rPr>
                  <w:rFonts w:hint="default" w:ascii="DejaVu Math TeX Gyre" w:hAnsi="DejaVu Math TeX Gyre" w:eastAsiaTheme="minorEastAsia"/>
                  <w:sz w:val="21"/>
                </w:rPr>
              </m:ctrlPr>
            </m:sSubPr>
            <m:e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λ</m:t>
              </m:r>
              <m:ctrlPr>
                <w:rPr>
                  <w:rFonts w:ascii="DejaVu Math TeX Gyre" w:hAnsi="DejaVu Math TeX Gyre" w:eastAsiaTheme="minorEastAsia"/>
                  <w:sz w:val="21"/>
                </w:rPr>
              </m:ctrlPr>
            </m:e>
            <m:sub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i</m:t>
              </m:r>
              <m:ctrlPr>
                <w:rPr>
                  <w:rFonts w:ascii="DejaVu Math TeX Gyre" w:hAnsi="DejaVu Math TeX Gyre" w:eastAsiaTheme="minorEastAsia"/>
                  <w:sz w:val="21"/>
                </w:rPr>
              </m:ctrlPr>
            </m:sub>
          </m:sSub>
          <m:r>
            <m:rPr/>
            <w:rPr>
              <w:rFonts w:hint="default" w:ascii="DejaVu Math TeX Gyre" w:hAnsi="DejaVu Math TeX Gyre" w:eastAsiaTheme="minorEastAsia"/>
              <w:sz w:val="21"/>
            </w:rPr>
            <m:t>+</m:t>
          </m:r>
          <m:sSub>
            <m:sSubPr>
              <m:ctrlPr>
                <w:rPr>
                  <w:rFonts w:hint="default" w:ascii="DejaVu Math TeX Gyre" w:hAnsi="DejaVu Math TeX Gyre" w:eastAsiaTheme="minorEastAsia"/>
                  <w:sz w:val="21"/>
                </w:rPr>
              </m:ctrlPr>
            </m:sSubPr>
            <m:e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μ</m:t>
              </m:r>
              <m:ctrlPr>
                <w:rPr>
                  <w:rFonts w:ascii="DejaVu Math TeX Gyre" w:hAnsi="DejaVu Math TeX Gyre" w:eastAsiaTheme="minorEastAsia"/>
                  <w:sz w:val="21"/>
                </w:rPr>
              </m:ctrlPr>
            </m:e>
            <m:sub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t</m:t>
              </m:r>
              <m:ctrlPr>
                <w:rPr>
                  <w:rFonts w:ascii="DejaVu Math TeX Gyre" w:hAnsi="DejaVu Math TeX Gyre" w:eastAsiaTheme="minorEastAsia"/>
                  <w:sz w:val="21"/>
                </w:rPr>
              </m:ctrlPr>
            </m:sub>
          </m:sSub>
          <m:r>
            <m:rPr/>
            <w:rPr>
              <w:rFonts w:hint="default" w:ascii="DejaVu Math TeX Gyre" w:hAnsi="DejaVu Math TeX Gyre" w:eastAsiaTheme="minorEastAsia"/>
              <w:sz w:val="21"/>
            </w:rPr>
            <m:t>+</m:t>
          </m:r>
          <m:sSub>
            <m:sSubPr>
              <m:ctrlPr>
                <w:rPr>
                  <w:rFonts w:hint="default" w:ascii="DejaVu Math TeX Gyre" w:hAnsi="DejaVu Math TeX Gyre" w:eastAsiaTheme="minorEastAsia"/>
                  <w:sz w:val="21"/>
                </w:rPr>
              </m:ctrlPr>
            </m:sSubPr>
            <m:e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ε</m:t>
              </m:r>
              <m:ctrlPr>
                <w:rPr>
                  <w:rFonts w:ascii="DejaVu Math TeX Gyre" w:hAnsi="DejaVu Math TeX Gyre" w:eastAsiaTheme="minorEastAsia"/>
                  <w:sz w:val="21"/>
                </w:rPr>
              </m:ctrlPr>
            </m:e>
            <m:sub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it</m:t>
              </m:r>
              <m:ctrlPr>
                <w:rPr>
                  <w:rFonts w:ascii="DejaVu Math TeX Gyre" w:hAnsi="DejaVu Math TeX Gyre" w:eastAsiaTheme="minorEastAsia"/>
                  <w:sz w:val="21"/>
                </w:rPr>
              </m:ctrlPr>
            </m:sub>
          </m:sSub>
        </m:oMath>
      </m:oMathPara>
    </w:p>
    <w:p w14:paraId="17070F3A">
      <w:pPr>
        <w:numPr>
          <w:numId w:val="0"/>
        </w:numPr>
        <w:rPr>
          <w:rFonts w:hint="eastAsia" w:hAnsi="DejaVu Math TeX Gyre" w:eastAsiaTheme="minorEastAsia"/>
          <w:i w:val="0"/>
          <w:sz w:val="21"/>
          <w:lang w:eastAsia="zh-CN"/>
        </w:rPr>
      </w:pPr>
      <w:r>
        <w:rPr>
          <w:rFonts w:hint="eastAsia" w:hAnsi="DejaVu Math TeX Gyre" w:eastAsiaTheme="minorEastAsia"/>
          <w:i w:val="0"/>
          <w:sz w:val="21"/>
          <w:lang w:eastAsia="zh-CN"/>
        </w:rPr>
        <w:t>（</w:t>
      </w:r>
      <w:r>
        <w:rPr>
          <w:rFonts w:hint="eastAsia" w:hAnsi="DejaVu Math TeX Gyre" w:eastAsiaTheme="minorEastAsia"/>
          <w:i w:val="0"/>
          <w:color w:val="C00000"/>
          <w:sz w:val="21"/>
          <w:lang w:val="en-US" w:eastAsia="zh-CN"/>
        </w:rPr>
        <w:t>看看上一个文档的 以下仅供参考</w:t>
      </w:r>
      <w:r>
        <w:rPr>
          <w:rFonts w:hint="eastAsia" w:hAnsi="DejaVu Math TeX Gyre" w:eastAsiaTheme="minorEastAsia"/>
          <w:i w:val="0"/>
          <w:sz w:val="21"/>
          <w:lang w:eastAsia="zh-CN"/>
        </w:rPr>
        <w:t>）</w:t>
      </w:r>
    </w:p>
    <w:p w14:paraId="0939FA8A">
      <w:pPr>
        <w:ind w:left="720"/>
      </w:pPr>
      <w:r>
        <w:rPr>
          <w:b/>
          <w:bCs/>
        </w:rPr>
        <w:t>•</w:t>
      </w:r>
      <w:r>
        <w:tab/>
      </w:r>
      <w:r>
        <w:rPr>
          <w:b/>
          <w:bCs/>
          <w:i w:val="0"/>
          <w:iCs w:val="0"/>
        </w:rPr>
        <w:t xml:space="preserve">被解释变量 </w:t>
      </w:r>
      <w:r>
        <w:rPr>
          <w:rFonts w:ascii="Consolas" w:hAnsi="Consolas" w:eastAsia="Consolas" w:cs="Consolas"/>
          <w:b/>
          <w:bCs/>
          <w:i w:val="0"/>
          <w:iCs w:val="0"/>
          <w:sz w:val="20"/>
          <w:szCs w:val="20"/>
        </w:rPr>
        <w:t>CAR_it</w:t>
      </w:r>
      <w:r>
        <w:rPr>
          <w:b w:val="0"/>
          <w:bCs w:val="0"/>
          <w:i w:val="0"/>
          <w:iCs w:val="0"/>
        </w:rPr>
        <w:t>：公告日附近（如[-1, 1], [-2, 2]）的累积超额收益。明确超额收益的计算方法（如市场模型法、Fama-French三因子模型）。</w:t>
      </w:r>
    </w:p>
    <w:p w14:paraId="5E9A8E99">
      <w:pPr>
        <w:ind w:left="720"/>
      </w:pPr>
      <w:r>
        <w:rPr>
          <w:b/>
          <w:bCs/>
        </w:rPr>
        <w:t>•</w:t>
      </w:r>
      <w:r>
        <w:tab/>
      </w:r>
      <w:r>
        <w:rPr>
          <w:b/>
          <w:bCs/>
          <w:i w:val="0"/>
          <w:iCs w:val="0"/>
        </w:rPr>
        <w:t xml:space="preserve">核心解释变量 </w:t>
      </w:r>
      <w:r>
        <w:rPr>
          <w:rFonts w:ascii="Consolas" w:hAnsi="Consolas" w:eastAsia="Consolas" w:cs="Consolas"/>
          <w:b/>
          <w:bCs/>
          <w:i w:val="0"/>
          <w:iCs w:val="0"/>
          <w:sz w:val="20"/>
          <w:szCs w:val="20"/>
        </w:rPr>
        <w:t>Treat_i * Post_t</w:t>
      </w:r>
      <w:r>
        <w:rPr>
          <w:b w:val="0"/>
          <w:bCs w:val="0"/>
          <w:i w:val="0"/>
          <w:iCs w:val="0"/>
        </w:rPr>
        <w:t>：</w:t>
      </w:r>
      <w:r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Post_t</w:t>
      </w:r>
      <w:r>
        <w:rPr>
          <w:b w:val="0"/>
          <w:bCs w:val="0"/>
          <w:i w:val="0"/>
          <w:iCs w:val="0"/>
        </w:rPr>
        <w:t>为政策实施（2024年4月12日）前后虚拟变量；</w:t>
      </w:r>
      <w:r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Treat_i</w:t>
      </w:r>
      <w:r>
        <w:rPr>
          <w:b w:val="0"/>
          <w:bCs w:val="0"/>
          <w:i w:val="0"/>
          <w:iCs w:val="0"/>
        </w:rPr>
        <w:t>为发布注销式回购公告的公司（处理组）。这里需要仔细定义控制组，可以考虑使用</w:t>
      </w:r>
      <w:r>
        <w:rPr>
          <w:b/>
          <w:bCs/>
          <w:i w:val="0"/>
          <w:iCs w:val="0"/>
        </w:rPr>
        <w:t>PSM-DID</w:t>
      </w:r>
      <w:r>
        <w:rPr>
          <w:b w:val="0"/>
          <w:bCs w:val="0"/>
          <w:i w:val="0"/>
          <w:iCs w:val="0"/>
        </w:rPr>
        <w:t>，为处理组匹配未进行回购但特征相似的公司，或者使用</w:t>
      </w:r>
      <w:r>
        <w:rPr>
          <w:b/>
          <w:bCs/>
          <w:i w:val="0"/>
          <w:iCs w:val="0"/>
        </w:rPr>
        <w:t>广义DID</w:t>
      </w:r>
      <w:r>
        <w:rPr>
          <w:b w:val="0"/>
          <w:bCs w:val="0"/>
          <w:i w:val="0"/>
          <w:iCs w:val="0"/>
        </w:rPr>
        <w:t>（所有公司都在样本中，</w:t>
      </w:r>
      <w:r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Treat</w:t>
      </w:r>
      <w:r>
        <w:rPr>
          <w:b w:val="0"/>
          <w:bCs w:val="0"/>
          <w:i w:val="0"/>
          <w:iCs w:val="0"/>
        </w:rPr>
        <w:t>为1代表该公司在某</w:t>
      </w:r>
      <w:r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t</w:t>
      </w:r>
      <w:r>
        <w:rPr>
          <w:b w:val="0"/>
          <w:bCs w:val="0"/>
          <w:i w:val="0"/>
          <w:iCs w:val="0"/>
        </w:rPr>
        <w:t>期进行了回购）。</w:t>
      </w:r>
    </w:p>
    <w:p w14:paraId="53C4BFE5">
      <w:pPr>
        <w:ind w:left="720"/>
      </w:pPr>
      <w:r>
        <w:rPr>
          <w:b/>
          <w:bCs/>
        </w:rPr>
        <w:t>•</w:t>
      </w:r>
      <w:r>
        <w:tab/>
      </w:r>
      <w:r>
        <w:rPr>
          <w:b/>
          <w:bCs/>
          <w:i w:val="0"/>
          <w:iCs w:val="0"/>
        </w:rPr>
        <w:t xml:space="preserve">控制变量 </w:t>
      </w:r>
      <w:r>
        <w:rPr>
          <w:rFonts w:ascii="Consolas" w:hAnsi="Consolas" w:eastAsia="Consolas" w:cs="Consolas"/>
          <w:b/>
          <w:bCs/>
          <w:i w:val="0"/>
          <w:iCs w:val="0"/>
          <w:sz w:val="20"/>
          <w:szCs w:val="20"/>
        </w:rPr>
        <w:t>Controls_it</w:t>
      </w:r>
      <w:r>
        <w:rPr>
          <w:b w:val="0"/>
          <w:bCs w:val="0"/>
          <w:i w:val="0"/>
          <w:iCs w:val="0"/>
        </w:rPr>
        <w:t>：选取影响公司CAR和回购决策的变量，并提供文献依据。例如：公司规模(Size)、资产负债率(Lev)、盈利能力(ROA)、成长性(Tobin's Q)、账面市值比(BM)、股权集中度(Top1)等。</w:t>
      </w:r>
    </w:p>
    <w:p w14:paraId="535C5741">
      <w:pPr>
        <w:ind w:left="720"/>
      </w:pPr>
      <w:r>
        <w:rPr>
          <w:b/>
          <w:bCs/>
        </w:rPr>
        <w:t>•</w:t>
      </w:r>
      <w:r>
        <w:tab/>
      </w:r>
      <w:r>
        <w:rPr>
          <w:b/>
          <w:bCs/>
          <w:i w:val="0"/>
          <w:iCs w:val="0"/>
        </w:rPr>
        <w:t>固定效应</w:t>
      </w:r>
      <w:r>
        <w:rPr>
          <w:b w:val="0"/>
          <w:bCs w:val="0"/>
          <w:i w:val="0"/>
          <w:iCs w:val="0"/>
        </w:rPr>
        <w:t>：控制公司个体固定效应 (</w:t>
      </w:r>
      <w:r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FirmFE</w:t>
      </w:r>
      <w:r>
        <w:rPr>
          <w:b w:val="0"/>
          <w:bCs w:val="0"/>
          <w:i w:val="0"/>
          <w:iCs w:val="0"/>
        </w:rPr>
        <w:t>) 和时间固定效应 (</w:t>
      </w:r>
      <w:r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TimeFE</w:t>
      </w:r>
      <w:r>
        <w:rPr>
          <w:b w:val="0"/>
          <w:bCs w:val="0"/>
          <w:i w:val="0"/>
          <w:iCs w:val="0"/>
        </w:rPr>
        <w:t>)。</w:t>
      </w:r>
    </w:p>
    <w:p w14:paraId="3A17D172">
      <w:pPr>
        <w:ind w:left="0"/>
      </w:pPr>
      <w:r>
        <w:rPr>
          <w:rFonts w:hint="eastAsia" w:eastAsia="宋体"/>
          <w:b/>
          <w:bCs/>
          <w:i w:val="0"/>
          <w:iCs w:val="0"/>
          <w:lang w:eastAsia="zh-CN"/>
        </w:rPr>
        <w:t>（</w:t>
      </w:r>
      <w:r>
        <w:rPr>
          <w:rFonts w:hint="eastAsia" w:eastAsia="宋体"/>
          <w:b/>
          <w:bCs/>
          <w:i w:val="0"/>
          <w:iCs w:val="0"/>
          <w:lang w:val="en-US" w:eastAsia="zh-CN"/>
        </w:rPr>
        <w:t>3</w:t>
      </w:r>
      <w:r>
        <w:rPr>
          <w:rFonts w:hint="eastAsia" w:eastAsia="宋体"/>
          <w:b/>
          <w:bCs/>
          <w:i w:val="0"/>
          <w:iCs w:val="0"/>
          <w:lang w:eastAsia="zh-CN"/>
        </w:rPr>
        <w:t>）</w:t>
      </w:r>
      <w:r>
        <w:rPr>
          <w:b/>
          <w:bCs/>
          <w:i w:val="0"/>
          <w:iCs w:val="0"/>
        </w:rPr>
        <w:t>变量定义与描述性统计</w:t>
      </w:r>
      <w:r>
        <w:rPr>
          <w:b w:val="0"/>
          <w:bCs w:val="0"/>
          <w:i w:val="0"/>
          <w:iCs w:val="0"/>
        </w:rPr>
        <w:t>：</w:t>
      </w:r>
    </w:p>
    <w:p w14:paraId="11B3AC83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以表格形式清晰展示所有变量的定义、计算方式和数据来源。</w:t>
      </w:r>
    </w:p>
    <w:p w14:paraId="6A151565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报告主要变量的描述性统计结果（均值、标准差、中位数等）。</w:t>
      </w:r>
    </w:p>
    <w:p w14:paraId="3106BF12">
      <w:pPr>
        <w:jc w:val="center"/>
      </w:pPr>
      <w:r>
        <w:rPr>
          <w:color w:val="999999"/>
        </w:rPr>
        <w:t>──────────────────────────────────────────────────</w:t>
      </w:r>
    </w:p>
    <w:p w14:paraId="73665E7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both"/>
        <w:textAlignment w:val="auto"/>
        <w:rPr>
          <w:rFonts w:hint="eastAsia" w:ascii="楷体" w:hAnsi="楷体" w:eastAsia="楷体" w:cs="楷体"/>
          <w:b/>
          <w:bCs/>
          <w:color w:val="C00000"/>
          <w:kern w:val="2"/>
          <w:sz w:val="28"/>
          <w:szCs w:val="28"/>
          <w:lang w:val="en-US" w:eastAsia="zh-CN" w:bidi="ar-SA"/>
        </w:rPr>
      </w:pPr>
      <w:r>
        <w:rPr>
          <w:rFonts w:hint="eastAsia" w:ascii="楷体" w:hAnsi="楷体" w:eastAsia="楷体" w:cs="楷体"/>
          <w:b/>
          <w:bCs/>
          <w:color w:val="C00000"/>
          <w:kern w:val="2"/>
          <w:sz w:val="28"/>
          <w:szCs w:val="28"/>
          <w:lang w:val="en-US" w:eastAsia="zh-CN" w:bidi="ar-SA"/>
        </w:rPr>
        <w:t>实证结果与分析</w:t>
      </w:r>
    </w:p>
    <w:p w14:paraId="3EC8B40C">
      <w:pPr>
        <w:ind w:left="0"/>
      </w:pPr>
      <w:r>
        <w:rPr>
          <w:rFonts w:hint="eastAsia" w:eastAsia="宋体"/>
          <w:b/>
          <w:bCs/>
          <w:i w:val="0"/>
          <w:iCs w:val="0"/>
          <w:lang w:eastAsia="zh-CN"/>
        </w:rPr>
        <w:t>（</w:t>
      </w:r>
      <w:r>
        <w:rPr>
          <w:rFonts w:hint="eastAsia" w:eastAsia="宋体"/>
          <w:b/>
          <w:bCs/>
          <w:i w:val="0"/>
          <w:iCs w:val="0"/>
          <w:lang w:val="en-US" w:eastAsia="zh-CN"/>
        </w:rPr>
        <w:t>1</w:t>
      </w:r>
      <w:r>
        <w:rPr>
          <w:rFonts w:hint="eastAsia" w:eastAsia="宋体"/>
          <w:b/>
          <w:bCs/>
          <w:i w:val="0"/>
          <w:iCs w:val="0"/>
          <w:lang w:eastAsia="zh-CN"/>
        </w:rPr>
        <w:t>）</w:t>
      </w:r>
      <w:r>
        <w:rPr>
          <w:b/>
          <w:bCs/>
          <w:i w:val="0"/>
          <w:iCs w:val="0"/>
        </w:rPr>
        <w:t>平行趋势检验</w:t>
      </w:r>
      <w:r>
        <w:rPr>
          <w:b w:val="0"/>
          <w:bCs w:val="0"/>
          <w:i w:val="0"/>
          <w:iCs w:val="0"/>
        </w:rPr>
        <w:t>：</w:t>
      </w:r>
    </w:p>
    <w:p w14:paraId="47E3E2C3">
      <w:pPr>
        <w:ind w:left="0"/>
        <w:rPr>
          <w:rFonts w:hint="eastAsia" w:eastAsia="宋体"/>
          <w:lang w:eastAsia="zh-CN"/>
        </w:rPr>
      </w:pPr>
      <w:r>
        <w:rPr>
          <w:rFonts w:hint="eastAsia" w:eastAsia="宋体"/>
          <w:b/>
          <w:bCs/>
          <w:i w:val="0"/>
          <w:iCs w:val="0"/>
          <w:lang w:eastAsia="zh-CN"/>
        </w:rPr>
        <w:t>（</w:t>
      </w:r>
      <w:r>
        <w:rPr>
          <w:rFonts w:hint="eastAsia" w:eastAsia="宋体"/>
          <w:b/>
          <w:bCs/>
          <w:i w:val="0"/>
          <w:iCs w:val="0"/>
          <w:lang w:val="en-US" w:eastAsia="zh-CN"/>
        </w:rPr>
        <w:t>2</w:t>
      </w:r>
      <w:r>
        <w:rPr>
          <w:rFonts w:hint="eastAsia" w:eastAsia="宋体"/>
          <w:b/>
          <w:bCs/>
          <w:i w:val="0"/>
          <w:iCs w:val="0"/>
          <w:lang w:eastAsia="zh-CN"/>
        </w:rPr>
        <w:t>）</w:t>
      </w:r>
      <w:r>
        <w:rPr>
          <w:b/>
          <w:bCs/>
          <w:i w:val="0"/>
          <w:iCs w:val="0"/>
        </w:rPr>
        <w:t>基准回归结果</w:t>
      </w:r>
      <w:r>
        <w:rPr>
          <w:b w:val="0"/>
          <w:bCs w:val="0"/>
          <w:i w:val="0"/>
          <w:iCs w:val="0"/>
        </w:rPr>
        <w:t>：</w:t>
      </w:r>
      <w:r>
        <w:rPr>
          <w:rFonts w:hint="eastAsia" w:eastAsia="宋体"/>
          <w:b w:val="0"/>
          <w:bCs w:val="0"/>
          <w:i w:val="0"/>
          <w:iCs w:val="0"/>
          <w:lang w:eastAsia="zh-CN"/>
        </w:rPr>
        <w:t>（</w:t>
      </w:r>
      <w:r>
        <w:rPr>
          <w:rFonts w:hint="eastAsia" w:eastAsia="宋体"/>
          <w:b w:val="0"/>
          <w:bCs w:val="0"/>
          <w:i w:val="0"/>
          <w:iCs w:val="0"/>
          <w:color w:val="C00000"/>
          <w:lang w:val="en-US" w:eastAsia="zh-CN"/>
        </w:rPr>
        <w:t>以下仅供参考</w:t>
      </w:r>
      <w:r>
        <w:rPr>
          <w:rFonts w:hint="eastAsia" w:eastAsia="宋体"/>
          <w:b w:val="0"/>
          <w:bCs w:val="0"/>
          <w:i w:val="0"/>
          <w:iCs w:val="0"/>
          <w:lang w:eastAsia="zh-CN"/>
        </w:rPr>
        <w:t>）</w:t>
      </w:r>
    </w:p>
    <w:p w14:paraId="07147E09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报告基准DID模型的回归结果表。</w:t>
      </w:r>
    </w:p>
    <w:p w14:paraId="1A7AD603">
      <w:pPr>
        <w:ind w:left="720"/>
      </w:pPr>
      <w:r>
        <w:rPr>
          <w:b/>
          <w:bCs/>
        </w:rPr>
        <w:t>•</w:t>
      </w:r>
      <w:r>
        <w:tab/>
      </w:r>
      <w:r>
        <w:rPr>
          <w:b/>
          <w:bCs/>
          <w:i w:val="0"/>
          <w:iCs w:val="0"/>
        </w:rPr>
        <w:t>核心解读</w:t>
      </w:r>
      <w:r>
        <w:rPr>
          <w:b w:val="0"/>
          <w:bCs w:val="0"/>
          <w:i w:val="0"/>
          <w:iCs w:val="0"/>
        </w:rPr>
        <w:t xml:space="preserve">：重点关注交互项 </w:t>
      </w:r>
      <w:r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Treat_i * Post_t</w:t>
      </w:r>
      <w:r>
        <w:rPr>
          <w:b w:val="0"/>
          <w:bCs w:val="0"/>
          <w:i w:val="0"/>
          <w:iCs w:val="0"/>
        </w:rPr>
        <w:t xml:space="preserve"> 的系数 </w:t>
      </w:r>
      <w:r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β₁</w:t>
      </w:r>
      <w:r>
        <w:rPr>
          <w:b w:val="0"/>
          <w:bCs w:val="0"/>
          <w:i w:val="0"/>
          <w:iCs w:val="0"/>
        </w:rPr>
        <w:t>。根据H1的预期，该系数应</w:t>
      </w:r>
      <w:r>
        <w:rPr>
          <w:b/>
          <w:bCs/>
          <w:i w:val="0"/>
          <w:iCs w:val="0"/>
        </w:rPr>
        <w:t>显著为负</w:t>
      </w:r>
      <w:r>
        <w:rPr>
          <w:b w:val="0"/>
          <w:bCs w:val="0"/>
          <w:i w:val="0"/>
          <w:iCs w:val="0"/>
        </w:rPr>
        <w:t>。</w:t>
      </w:r>
    </w:p>
    <w:p w14:paraId="37A26A05">
      <w:pPr>
        <w:ind w:left="720"/>
      </w:pPr>
      <w:r>
        <w:rPr>
          <w:b/>
          <w:bCs/>
        </w:rPr>
        <w:t>•</w:t>
      </w:r>
      <w:r>
        <w:tab/>
      </w:r>
      <w:r>
        <w:rPr>
          <w:b/>
          <w:bCs/>
          <w:i w:val="0"/>
          <w:iCs w:val="0"/>
        </w:rPr>
        <w:t>经济学含义解释</w:t>
      </w:r>
      <w:r>
        <w:rPr>
          <w:b w:val="0"/>
          <w:bCs w:val="0"/>
          <w:i w:val="0"/>
          <w:iCs w:val="0"/>
        </w:rPr>
        <w:t>：计算</w:t>
      </w:r>
      <w:r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β₁</w:t>
      </w:r>
      <w:r>
        <w:rPr>
          <w:b w:val="0"/>
          <w:bCs w:val="0"/>
          <w:i w:val="0"/>
          <w:iCs w:val="0"/>
        </w:rPr>
        <w:t>的经济学意义，例如：“在控制其他因素后，新政实施使得回购公告的3日累积超额收益平均下降了X个百分点。”</w:t>
      </w:r>
    </w:p>
    <w:p w14:paraId="1DF18AE2">
      <w:pPr>
        <w:ind w:left="0"/>
      </w:pPr>
      <w:r>
        <w:rPr>
          <w:rFonts w:hint="eastAsia" w:eastAsia="宋体"/>
          <w:b/>
          <w:bCs/>
          <w:i w:val="0"/>
          <w:iCs w:val="0"/>
          <w:lang w:eastAsia="zh-CN"/>
        </w:rPr>
        <w:t>（</w:t>
      </w:r>
      <w:r>
        <w:rPr>
          <w:rFonts w:hint="eastAsia" w:eastAsia="宋体"/>
          <w:b/>
          <w:bCs/>
          <w:i w:val="0"/>
          <w:iCs w:val="0"/>
          <w:lang w:val="en-US" w:eastAsia="zh-CN"/>
        </w:rPr>
        <w:t>3</w:t>
      </w:r>
      <w:r>
        <w:rPr>
          <w:rFonts w:hint="eastAsia" w:eastAsia="宋体"/>
          <w:b/>
          <w:bCs/>
          <w:i w:val="0"/>
          <w:iCs w:val="0"/>
          <w:lang w:eastAsia="zh-CN"/>
        </w:rPr>
        <w:t>）</w:t>
      </w:r>
      <w:r>
        <w:rPr>
          <w:b/>
          <w:bCs/>
          <w:i w:val="0"/>
          <w:iCs w:val="0"/>
        </w:rPr>
        <w:t>稳健性检验</w:t>
      </w:r>
      <w:r>
        <w:rPr>
          <w:b w:val="0"/>
          <w:bCs w:val="0"/>
          <w:i w:val="0"/>
          <w:iCs w:val="0"/>
        </w:rPr>
        <w:t>：</w:t>
      </w:r>
      <w:r>
        <w:rPr>
          <w:rFonts w:hint="eastAsia" w:eastAsia="宋体"/>
          <w:b w:val="0"/>
          <w:bCs w:val="0"/>
          <w:i w:val="0"/>
          <w:iCs w:val="0"/>
          <w:lang w:eastAsia="zh-CN"/>
        </w:rPr>
        <w:t>（</w:t>
      </w:r>
      <w:r>
        <w:rPr>
          <w:rFonts w:hint="eastAsia" w:eastAsia="宋体"/>
          <w:b w:val="0"/>
          <w:bCs w:val="0"/>
          <w:i w:val="0"/>
          <w:iCs w:val="0"/>
          <w:color w:val="C00000"/>
          <w:lang w:val="en-US" w:eastAsia="zh-CN"/>
        </w:rPr>
        <w:t>以下仅供参考</w:t>
      </w:r>
      <w:r>
        <w:rPr>
          <w:rFonts w:hint="eastAsia" w:eastAsia="宋体"/>
          <w:b w:val="0"/>
          <w:bCs w:val="0"/>
          <w:i w:val="0"/>
          <w:iCs w:val="0"/>
          <w:lang w:eastAsia="zh-CN"/>
        </w:rPr>
        <w:t>）</w:t>
      </w:r>
    </w:p>
    <w:p w14:paraId="7BC92CDD">
      <w:pPr>
        <w:ind w:left="720"/>
      </w:pPr>
      <w:r>
        <w:rPr>
          <w:b/>
          <w:bCs/>
        </w:rPr>
        <w:t>•</w:t>
      </w:r>
      <w:r>
        <w:tab/>
      </w:r>
      <w:r>
        <w:rPr>
          <w:b/>
          <w:bCs/>
          <w:i w:val="0"/>
          <w:iCs w:val="0"/>
        </w:rPr>
        <w:t>更换CAR窗口</w:t>
      </w:r>
      <w:r>
        <w:rPr>
          <w:b w:val="0"/>
          <w:bCs w:val="0"/>
          <w:i w:val="0"/>
          <w:iCs w:val="0"/>
        </w:rPr>
        <w:t>：将被解释变量的计算窗口改为[-2, 2],等进行检验。</w:t>
      </w:r>
    </w:p>
    <w:p w14:paraId="7B73CF30">
      <w:pPr>
        <w:ind w:left="720"/>
      </w:pPr>
      <w:r>
        <w:rPr>
          <w:b/>
          <w:bCs/>
        </w:rPr>
        <w:t>•</w:t>
      </w:r>
      <w:r>
        <w:tab/>
      </w:r>
      <w:r>
        <w:rPr>
          <w:b/>
          <w:bCs/>
          <w:i w:val="0"/>
          <w:iCs w:val="0"/>
        </w:rPr>
        <w:t>PSM-DID</w:t>
      </w:r>
      <w:r>
        <w:rPr>
          <w:b w:val="0"/>
          <w:bCs w:val="0"/>
          <w:i w:val="0"/>
          <w:iCs w:val="0"/>
        </w:rPr>
        <w:t>：如基准模型未使用，可在此处使用倾向得分匹配法重新构建控制组，以缓解样本选择偏误。</w:t>
      </w:r>
    </w:p>
    <w:p w14:paraId="53B8952C">
      <w:pPr>
        <w:ind w:left="720"/>
      </w:pPr>
      <w:r>
        <w:rPr>
          <w:b/>
          <w:bCs/>
        </w:rPr>
        <w:t>•</w:t>
      </w:r>
      <w:r>
        <w:tab/>
      </w:r>
      <w:r>
        <w:rPr>
          <w:b/>
          <w:bCs/>
          <w:i w:val="0"/>
          <w:iCs w:val="0"/>
        </w:rPr>
        <w:t>排除其他政策干扰</w:t>
      </w:r>
      <w:r>
        <w:rPr>
          <w:b w:val="0"/>
          <w:bCs w:val="0"/>
          <w:i w:val="0"/>
          <w:iCs w:val="0"/>
        </w:rPr>
        <w:t>：分析同期是否存在其他可能影响市场的重大政策，并尝试加以控制。</w:t>
      </w:r>
    </w:p>
    <w:p w14:paraId="0958BDAE">
      <w:pPr>
        <w:ind w:left="720"/>
      </w:pPr>
      <w:r>
        <w:rPr>
          <w:b/>
          <w:bCs/>
        </w:rPr>
        <w:t>•</w:t>
      </w:r>
      <w:r>
        <w:tab/>
      </w:r>
      <w:r>
        <w:rPr>
          <w:b/>
          <w:bCs/>
          <w:i w:val="0"/>
          <w:iCs w:val="0"/>
        </w:rPr>
        <w:t>安慰剂检验 (Placebo Test)</w:t>
      </w:r>
      <w:r>
        <w:rPr>
          <w:b w:val="0"/>
          <w:bCs w:val="0"/>
          <w:i w:val="0"/>
          <w:iCs w:val="0"/>
        </w:rPr>
        <w:t>：通过随机虚构政策实施时间或随机虚构处理组的方式进行检验。</w:t>
      </w:r>
    </w:p>
    <w:p w14:paraId="233DEE40">
      <w:pPr>
        <w:jc w:val="center"/>
      </w:pPr>
      <w:r>
        <w:rPr>
          <w:color w:val="999999"/>
        </w:rPr>
        <w:t>──────────────────────────────────────────────────</w:t>
      </w:r>
    </w:p>
    <w:p w14:paraId="1F9D6A4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both"/>
        <w:textAlignment w:val="auto"/>
        <w:rPr>
          <w:rFonts w:hint="eastAsia" w:ascii="楷体" w:hAnsi="楷体" w:eastAsia="楷体" w:cs="楷体"/>
          <w:b/>
          <w:bCs/>
          <w:color w:val="C00000"/>
          <w:kern w:val="2"/>
          <w:sz w:val="28"/>
          <w:szCs w:val="28"/>
          <w:lang w:val="en-US" w:eastAsia="zh-CN" w:bidi="ar-SA"/>
        </w:rPr>
      </w:pPr>
      <w:r>
        <w:rPr>
          <w:rFonts w:hint="eastAsia" w:ascii="楷体" w:hAnsi="楷体" w:eastAsia="楷体" w:cs="楷体"/>
          <w:b/>
          <w:bCs/>
          <w:color w:val="C00000"/>
          <w:kern w:val="2"/>
          <w:sz w:val="28"/>
          <w:szCs w:val="28"/>
          <w:lang w:val="en-US" w:eastAsia="zh-CN" w:bidi="ar-SA"/>
        </w:rPr>
        <w:t>作用机制检验</w:t>
      </w:r>
    </w:p>
    <w:p w14:paraId="204BA88C">
      <w:pPr>
        <w:ind w:left="720"/>
        <w:rPr>
          <w:b w:val="0"/>
          <w:bCs w:val="0"/>
          <w:i w:val="0"/>
          <w:iCs w:val="0"/>
        </w:rPr>
      </w:pPr>
      <w:r>
        <w:rPr>
          <w:b/>
          <w:bCs/>
        </w:rPr>
        <w:t>•</w:t>
      </w:r>
      <w:r>
        <w:tab/>
      </w:r>
      <w:r>
        <w:rPr>
          <w:b/>
          <w:bCs/>
          <w:i w:val="0"/>
          <w:iCs w:val="0"/>
        </w:rPr>
        <w:t>核心问题</w:t>
      </w:r>
      <w:r>
        <w:rPr>
          <w:b w:val="0"/>
          <w:bCs w:val="0"/>
          <w:i w:val="0"/>
          <w:iCs w:val="0"/>
        </w:rPr>
        <w:t>：如何证明CAR的下降确实是由于</w:t>
      </w:r>
      <w:r>
        <w:rPr>
          <w:rFonts w:hint="eastAsia" w:eastAsia="宋体"/>
          <w:b w:val="0"/>
          <w:bCs w:val="0"/>
          <w:i w:val="0"/>
          <w:iCs w:val="0"/>
          <w:lang w:val="en-US" w:eastAsia="zh-CN"/>
        </w:rPr>
        <w:t>政策提出</w:t>
      </w:r>
      <w:r>
        <w:rPr>
          <w:b w:val="0"/>
          <w:bCs w:val="0"/>
          <w:i w:val="0"/>
          <w:iCs w:val="0"/>
        </w:rPr>
        <w:t>所导致的？</w:t>
      </w:r>
    </w:p>
    <w:p w14:paraId="5EC53BC3">
      <w:pPr>
        <w:ind w:left="0" w:firstLine="500" w:firstLineChars="0"/>
        <w:rPr>
          <w:b w:val="0"/>
          <w:bCs w:val="0"/>
          <w:i w:val="0"/>
          <w:iCs w:val="0"/>
        </w:rPr>
      </w:pPr>
      <w:r>
        <w:rPr>
          <w:rFonts w:hint="eastAsia" w:eastAsia="宋体"/>
          <w:b w:val="0"/>
          <w:bCs w:val="0"/>
          <w:i w:val="0"/>
          <w:iCs w:val="0"/>
          <w:lang w:eastAsia="zh-CN"/>
        </w:rPr>
        <w:t>（</w:t>
      </w:r>
      <w:r>
        <w:rPr>
          <w:rFonts w:hint="eastAsia" w:eastAsia="宋体"/>
          <w:b w:val="0"/>
          <w:bCs w:val="0"/>
          <w:i w:val="0"/>
          <w:iCs w:val="0"/>
          <w:color w:val="C00000"/>
          <w:lang w:val="en-US" w:eastAsia="zh-CN"/>
        </w:rPr>
        <w:t>以下仅供参考</w:t>
      </w:r>
      <w:r>
        <w:rPr>
          <w:rFonts w:hint="eastAsia" w:eastAsia="宋体"/>
          <w:b w:val="0"/>
          <w:bCs w:val="0"/>
          <w:i w:val="0"/>
          <w:iCs w:val="0"/>
          <w:lang w:eastAsia="zh-CN"/>
        </w:rPr>
        <w:t>）</w:t>
      </w:r>
    </w:p>
    <w:p w14:paraId="6E87432D">
      <w:pPr>
        <w:ind w:left="720"/>
      </w:pPr>
      <w:r>
        <w:rPr>
          <w:b/>
          <w:bCs/>
        </w:rPr>
        <w:t>•</w:t>
      </w:r>
      <w:r>
        <w:tab/>
      </w:r>
      <w:r>
        <w:rPr>
          <w:b/>
          <w:bCs/>
          <w:i w:val="0"/>
          <w:iCs w:val="0"/>
        </w:rPr>
        <w:t>检验思路</w:t>
      </w:r>
      <w:r>
        <w:rPr>
          <w:b w:val="0"/>
          <w:bCs w:val="0"/>
          <w:i w:val="0"/>
          <w:iCs w:val="0"/>
        </w:rPr>
        <w:t>：寻找能够体现“分红替代”动机强弱的代理变量，并进行</w:t>
      </w:r>
      <w:r>
        <w:rPr>
          <w:b/>
          <w:bCs/>
          <w:i w:val="0"/>
          <w:iCs w:val="0"/>
        </w:rPr>
        <w:t>异质性分析（分组回归）</w:t>
      </w:r>
      <w:r>
        <w:rPr>
          <w:b w:val="0"/>
          <w:bCs w:val="0"/>
          <w:i w:val="0"/>
          <w:iCs w:val="0"/>
        </w:rPr>
        <w:t>。如果理论正确，那么在“分红替代”动机更强的公司组别中，CAR的下降应该更为显著。</w:t>
      </w:r>
    </w:p>
    <w:p w14:paraId="19680A52">
      <w:pPr>
        <w:ind w:left="720"/>
      </w:pPr>
      <w:r>
        <w:rPr>
          <w:b/>
          <w:bCs/>
        </w:rPr>
        <w:t>•</w:t>
      </w:r>
      <w:r>
        <w:tab/>
      </w:r>
      <w:r>
        <w:rPr>
          <w:b/>
          <w:bCs/>
          <w:i w:val="0"/>
          <w:iCs w:val="0"/>
        </w:rPr>
        <w:t>可行的分组变量</w:t>
      </w:r>
      <w:r>
        <w:rPr>
          <w:b w:val="0"/>
          <w:bCs w:val="0"/>
          <w:i w:val="0"/>
          <w:iCs w:val="0"/>
        </w:rPr>
        <w:t>：</w:t>
      </w:r>
    </w:p>
    <w:p w14:paraId="6C04E086">
      <w:pPr>
        <w:ind w:left="720"/>
      </w:pPr>
      <w:r>
        <w:rPr>
          <w:b/>
          <w:bCs/>
        </w:rPr>
        <w:t>•</w:t>
      </w:r>
      <w:r>
        <w:tab/>
      </w:r>
      <w:r>
        <w:rPr>
          <w:b/>
          <w:bCs/>
          <w:i w:val="0"/>
          <w:iCs w:val="0"/>
        </w:rPr>
        <w:t>分红压力</w:t>
      </w:r>
      <w:r>
        <w:rPr>
          <w:b w:val="0"/>
          <w:bCs w:val="0"/>
          <w:i w:val="0"/>
          <w:iCs w:val="0"/>
        </w:rPr>
        <w:t>：根据公司</w:t>
      </w:r>
      <w:r>
        <w:rPr>
          <w:b/>
          <w:bCs/>
          <w:i w:val="0"/>
          <w:iCs w:val="0"/>
        </w:rPr>
        <w:t>历史分红水平</w:t>
      </w:r>
      <w:r>
        <w:rPr>
          <w:b w:val="0"/>
          <w:bCs w:val="0"/>
          <w:i w:val="0"/>
          <w:iCs w:val="0"/>
        </w:rPr>
        <w:t>或</w:t>
      </w:r>
      <w:r>
        <w:rPr>
          <w:b/>
          <w:bCs/>
          <w:i w:val="0"/>
          <w:iCs w:val="0"/>
        </w:rPr>
        <w:t>是否濒临“ST”分红红线</w:t>
      </w:r>
      <w:r>
        <w:rPr>
          <w:b w:val="0"/>
          <w:bCs w:val="0"/>
          <w:i w:val="0"/>
          <w:iCs w:val="0"/>
        </w:rPr>
        <w:t>进行分组。对于那些历史分红少、分红压力大的公司，其利用回购替代分红的动机更强，预计其CAR下降更明显。</w:t>
      </w:r>
    </w:p>
    <w:p w14:paraId="3661FD28">
      <w:pPr>
        <w:ind w:left="720"/>
      </w:pPr>
      <w:r>
        <w:rPr>
          <w:b/>
          <w:bCs/>
        </w:rPr>
        <w:t>•</w:t>
      </w:r>
      <w:r>
        <w:tab/>
      </w:r>
      <w:r>
        <w:rPr>
          <w:b/>
          <w:bCs/>
          <w:i w:val="0"/>
          <w:iCs w:val="0"/>
        </w:rPr>
        <w:t>现金流状况</w:t>
      </w:r>
      <w:r>
        <w:rPr>
          <w:b w:val="0"/>
          <w:bCs w:val="0"/>
          <w:i w:val="0"/>
          <w:iCs w:val="0"/>
        </w:rPr>
        <w:t>：对于</w:t>
      </w:r>
      <w:r>
        <w:rPr>
          <w:b/>
          <w:bCs/>
          <w:i w:val="0"/>
          <w:iCs w:val="0"/>
        </w:rPr>
        <w:t>自由现金流充裕但投资机会少</w:t>
      </w:r>
      <w:r>
        <w:rPr>
          <w:b w:val="0"/>
          <w:bCs w:val="0"/>
          <w:i w:val="0"/>
          <w:iCs w:val="0"/>
        </w:rPr>
        <w:t>的公司，其更有动机将现金以回购形式返还股东（类似分红），预计其CAR下降更明显。</w:t>
      </w:r>
    </w:p>
    <w:p w14:paraId="5E64C50F">
      <w:pPr>
        <w:ind w:left="720"/>
      </w:pPr>
      <w:r>
        <w:rPr>
          <w:b/>
          <w:bCs/>
        </w:rPr>
        <w:t>•</w:t>
      </w:r>
      <w:r>
        <w:tab/>
      </w:r>
      <w:r>
        <w:rPr>
          <w:b/>
          <w:bCs/>
          <w:i w:val="0"/>
          <w:iCs w:val="0"/>
        </w:rPr>
        <w:t>估值水平</w:t>
      </w:r>
      <w:r>
        <w:rPr>
          <w:b w:val="0"/>
          <w:bCs w:val="0"/>
          <w:i w:val="0"/>
          <w:iCs w:val="0"/>
        </w:rPr>
        <w:t>：对于</w:t>
      </w:r>
      <w:r>
        <w:rPr>
          <w:b/>
          <w:bCs/>
          <w:i w:val="0"/>
          <w:iCs w:val="0"/>
        </w:rPr>
        <w:t>市净率(PB)或市盈率(PE)较高</w:t>
      </w:r>
      <w:r>
        <w:rPr>
          <w:b w:val="0"/>
          <w:bCs w:val="0"/>
          <w:i w:val="0"/>
          <w:iCs w:val="0"/>
        </w:rPr>
        <w:t>的公司，其本身“股价低估”的信号空间就小，回购更可能出于其他目的（如分红），预计其CAR下降更明显。</w:t>
      </w:r>
    </w:p>
    <w:p w14:paraId="43000C37">
      <w:pPr>
        <w:jc w:val="center"/>
      </w:pPr>
      <w:r>
        <w:rPr>
          <w:color w:val="999999"/>
        </w:rPr>
        <w:t>──────────────────────────────────────────────────</w:t>
      </w:r>
    </w:p>
    <w:p w14:paraId="7EFCEAA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both"/>
        <w:textAlignment w:val="auto"/>
        <w:rPr>
          <w:rFonts w:hint="eastAsia" w:ascii="楷体" w:hAnsi="楷体" w:eastAsia="楷体" w:cs="楷体"/>
          <w:b/>
          <w:bCs/>
          <w:color w:val="C00000"/>
          <w:kern w:val="2"/>
          <w:sz w:val="28"/>
          <w:szCs w:val="28"/>
          <w:lang w:val="en-US" w:eastAsia="zh-CN" w:bidi="ar-SA"/>
        </w:rPr>
      </w:pPr>
      <w:r>
        <w:rPr>
          <w:rFonts w:hint="eastAsia" w:ascii="楷体" w:hAnsi="楷体" w:eastAsia="楷体" w:cs="楷体"/>
          <w:b/>
          <w:bCs/>
          <w:color w:val="C00000"/>
          <w:kern w:val="2"/>
          <w:sz w:val="28"/>
          <w:szCs w:val="28"/>
          <w:lang w:val="en-US" w:eastAsia="zh-CN" w:bidi="ar-SA"/>
        </w:rPr>
        <w:t>进一步分析（到时候再看）</w:t>
      </w:r>
    </w:p>
    <w:p w14:paraId="7DA4E86F">
      <w:pPr>
        <w:ind w:left="720"/>
      </w:pPr>
      <w:r>
        <w:rPr>
          <w:b/>
          <w:bCs/>
        </w:rPr>
        <w:t>•</w:t>
      </w:r>
      <w:r>
        <w:tab/>
      </w:r>
      <w:r>
        <w:rPr>
          <w:b/>
          <w:bCs/>
          <w:i w:val="0"/>
          <w:iCs w:val="0"/>
        </w:rPr>
        <w:t>长期价值影响</w:t>
      </w:r>
      <w:r>
        <w:rPr>
          <w:b w:val="0"/>
          <w:bCs w:val="0"/>
          <w:i w:val="0"/>
          <w:iCs w:val="0"/>
        </w:rPr>
        <w:t>：回购的信号价值虽然短期下降了，但这种“分红式回购”对公司的长期价值（如未来一至两年的ROA、股票流动性等）有何影响？这可能是一个有趣的补充。</w:t>
      </w:r>
    </w:p>
    <w:p w14:paraId="28E3F226">
      <w:pPr>
        <w:ind w:left="720"/>
      </w:pPr>
      <w:r>
        <w:rPr>
          <w:b/>
          <w:bCs/>
        </w:rPr>
        <w:t>•</w:t>
      </w:r>
      <w:r>
        <w:tab/>
      </w:r>
      <w:r>
        <w:rPr>
          <w:b/>
          <w:bCs/>
          <w:i w:val="0"/>
          <w:iCs w:val="0"/>
        </w:rPr>
        <w:t>对公司治理的影响</w:t>
      </w:r>
      <w:r>
        <w:rPr>
          <w:b w:val="0"/>
          <w:bCs w:val="0"/>
          <w:i w:val="0"/>
          <w:iCs w:val="0"/>
        </w:rPr>
        <w:t>：这种新型回购是否改变了公司的现金管理策略或治理结构？</w:t>
      </w:r>
    </w:p>
    <w:p w14:paraId="45987314">
      <w:pPr>
        <w:jc w:val="center"/>
      </w:pPr>
      <w:r>
        <w:rPr>
          <w:color w:val="999999"/>
        </w:rPr>
        <w:t>──────────────────────────────────────────────────</w:t>
      </w:r>
    </w:p>
    <w:p w14:paraId="6B1CDE7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both"/>
        <w:textAlignment w:val="auto"/>
        <w:rPr>
          <w:rFonts w:hint="eastAsia" w:ascii="楷体" w:hAnsi="楷体" w:eastAsia="楷体" w:cs="楷体"/>
          <w:b/>
          <w:bCs/>
          <w:color w:val="C00000"/>
          <w:kern w:val="2"/>
          <w:sz w:val="28"/>
          <w:szCs w:val="28"/>
          <w:lang w:val="en-US" w:eastAsia="zh-CN" w:bidi="ar-SA"/>
        </w:rPr>
      </w:pPr>
      <w:r>
        <w:rPr>
          <w:rFonts w:hint="eastAsia" w:ascii="楷体" w:hAnsi="楷体" w:eastAsia="楷体" w:cs="楷体"/>
          <w:b/>
          <w:bCs/>
          <w:color w:val="C00000"/>
          <w:kern w:val="2"/>
          <w:sz w:val="28"/>
          <w:szCs w:val="28"/>
          <w:lang w:val="en-US" w:eastAsia="zh-CN" w:bidi="ar-SA"/>
        </w:rPr>
        <w:t>结论与政策建议</w:t>
      </w:r>
    </w:p>
    <w:p w14:paraId="2144DB9A">
      <w:pPr>
        <w:ind w:left="0"/>
        <w:rPr>
          <w:rFonts w:hint="eastAsia" w:ascii="楷体" w:hAnsi="楷体" w:eastAsia="楷体" w:cs="楷体"/>
          <w:b/>
          <w:bCs/>
          <w:color w:val="C00000"/>
          <w:kern w:val="2"/>
          <w:sz w:val="28"/>
          <w:szCs w:val="28"/>
          <w:lang w:val="en-US" w:eastAsia="zh-CN" w:bidi="ar-SA"/>
        </w:rPr>
      </w:pPr>
      <w:r>
        <w:rPr>
          <w:rFonts w:hint="eastAsia" w:eastAsia="宋体"/>
          <w:b w:val="0"/>
          <w:bCs w:val="0"/>
          <w:i w:val="0"/>
          <w:iCs w:val="0"/>
          <w:lang w:eastAsia="zh-CN"/>
        </w:rPr>
        <w:t>（</w:t>
      </w:r>
      <w:r>
        <w:rPr>
          <w:rFonts w:hint="eastAsia" w:eastAsia="宋体"/>
          <w:b w:val="0"/>
          <w:bCs w:val="0"/>
          <w:i w:val="0"/>
          <w:iCs w:val="0"/>
          <w:color w:val="C00000"/>
          <w:lang w:val="en-US" w:eastAsia="zh-CN"/>
        </w:rPr>
        <w:t>以下仅供参考</w:t>
      </w:r>
      <w:r>
        <w:rPr>
          <w:rFonts w:hint="eastAsia" w:eastAsia="宋体"/>
          <w:b w:val="0"/>
          <w:bCs w:val="0"/>
          <w:i w:val="0"/>
          <w:iCs w:val="0"/>
          <w:lang w:eastAsia="zh-CN"/>
        </w:rPr>
        <w:t>）</w:t>
      </w:r>
    </w:p>
    <w:p w14:paraId="3D46FBE6">
      <w:pPr>
        <w:ind w:left="0"/>
      </w:pPr>
      <w:r>
        <w:rPr>
          <w:b/>
          <w:bCs/>
        </w:rPr>
        <w:t>•</w:t>
      </w:r>
      <w:r>
        <w:tab/>
      </w:r>
      <w:r>
        <w:rPr>
          <w:b/>
          <w:bCs/>
          <w:i w:val="0"/>
          <w:iCs w:val="0"/>
        </w:rPr>
        <w:t>研究结论总结</w:t>
      </w:r>
      <w:r>
        <w:rPr>
          <w:b w:val="0"/>
          <w:bCs w:val="0"/>
          <w:i w:val="0"/>
          <w:iCs w:val="0"/>
        </w:rPr>
        <w:t>：</w:t>
      </w:r>
    </w:p>
    <w:p w14:paraId="608116E1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系统性地回顾本文的研究发现：新“国九条”将回购注销计入现金分红，显著降低了回购公告的短期信号价值。</w:t>
      </w:r>
    </w:p>
    <w:p w14:paraId="0A58FE66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这种价值稀释的背后机制在于，政策强化了回购的“分红替代”动机，使得市场难以分辨回购行为背后的真实意图。</w:t>
      </w:r>
    </w:p>
    <w:p w14:paraId="18BFFF42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在分红压力大、现金流充裕的公司中，这种信号价值的下降尤为明显。</w:t>
      </w:r>
    </w:p>
    <w:p w14:paraId="76D5518F">
      <w:pPr>
        <w:ind w:left="0"/>
      </w:pPr>
      <w:r>
        <w:rPr>
          <w:b/>
          <w:bCs/>
        </w:rPr>
        <w:t>•</w:t>
      </w:r>
      <w:r>
        <w:tab/>
      </w:r>
      <w:r>
        <w:rPr>
          <w:b/>
          <w:bCs/>
          <w:i w:val="0"/>
          <w:iCs w:val="0"/>
        </w:rPr>
        <w:t>政策建议</w:t>
      </w:r>
      <w:r>
        <w:rPr>
          <w:b w:val="0"/>
          <w:bCs w:val="0"/>
          <w:i w:val="0"/>
          <w:iCs w:val="0"/>
        </w:rPr>
        <w:t>：</w:t>
      </w:r>
    </w:p>
    <w:p w14:paraId="1C719595">
      <w:pPr>
        <w:ind w:left="720"/>
      </w:pPr>
      <w:r>
        <w:rPr>
          <w:b/>
          <w:bCs/>
        </w:rPr>
        <w:t>•</w:t>
      </w:r>
      <w:r>
        <w:tab/>
      </w:r>
      <w:r>
        <w:rPr>
          <w:b/>
          <w:bCs/>
          <w:i w:val="0"/>
          <w:iCs w:val="0"/>
        </w:rPr>
        <w:t>对监管者</w:t>
      </w:r>
      <w:r>
        <w:rPr>
          <w:b w:val="0"/>
          <w:bCs w:val="0"/>
          <w:i w:val="0"/>
          <w:iCs w:val="0"/>
        </w:rPr>
        <w:t>：建议在鼓励股东回报的同时，进一步完善信息披露规则，引导上市公司更清晰地阐明回购的主要目的，是基于价值判断还是作为分红安排，以降低市场的信息不对称。</w:t>
      </w:r>
    </w:p>
    <w:p w14:paraId="65D47B31">
      <w:pPr>
        <w:ind w:left="720"/>
      </w:pPr>
      <w:r>
        <w:rPr>
          <w:b/>
          <w:bCs/>
        </w:rPr>
        <w:t>•</w:t>
      </w:r>
      <w:r>
        <w:tab/>
      </w:r>
      <w:r>
        <w:rPr>
          <w:b/>
          <w:bCs/>
          <w:i w:val="0"/>
          <w:iCs w:val="0"/>
        </w:rPr>
        <w:t>对投资者</w:t>
      </w:r>
      <w:r>
        <w:rPr>
          <w:b w:val="0"/>
          <w:bCs w:val="0"/>
          <w:i w:val="0"/>
          <w:iCs w:val="0"/>
        </w:rPr>
        <w:t>：在新规背景下，投资者不应再将“注销式回购”盲目视为利好信号，而应结合公司的分红历史、现金状况和估值水平，综合判断其背后的真实动机。</w:t>
      </w:r>
    </w:p>
    <w:p w14:paraId="6AC70B71">
      <w:pPr>
        <w:ind w:left="720"/>
      </w:pPr>
      <w:r>
        <w:rPr>
          <w:b/>
          <w:bCs/>
        </w:rPr>
        <w:t>•</w:t>
      </w:r>
      <w:r>
        <w:tab/>
      </w:r>
      <w:r>
        <w:rPr>
          <w:b/>
          <w:bCs/>
          <w:i w:val="0"/>
          <w:iCs w:val="0"/>
        </w:rPr>
        <w:t>对上市公司</w:t>
      </w:r>
      <w:r>
        <w:rPr>
          <w:b w:val="0"/>
          <w:bCs w:val="0"/>
          <w:i w:val="0"/>
          <w:iCs w:val="0"/>
        </w:rPr>
        <w:t>：应更审慎地运用回购工具，明确资本运作的目标，并加强与市场的沟通，以实现有效的市值管理。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林学铭" w:date="2025-11-29T11:41:55Z" w:initials="">
    <w:p w14:paraId="2AF954C8">
      <w:pPr>
        <w:pStyle w:val="8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小傅</w:t>
      </w:r>
    </w:p>
  </w:comment>
  <w:comment w:id="1" w:author="林学铭" w:date="2025-11-29T11:42:05Z" w:initials="">
    <w:p w14:paraId="61118153">
      <w:pPr>
        <w:pStyle w:val="8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小傅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2AF954C8" w15:done="0"/>
  <w15:commentEx w15:paraId="61118153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楷体">
    <w:altName w:val="汉仪楷体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ple Symbols">
    <w:panose1 w:val="02000000000000000000"/>
    <w:charset w:val="00"/>
    <w:family w:val="auto"/>
    <w:pitch w:val="default"/>
    <w:sig w:usb0="800000A3" w:usb1="08007BEB" w:usb2="01840034" w:usb3="0000A268" w:csb0="200001FB" w:csb1="DDFF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67BA0D6"/>
    <w:multiLevelType w:val="singleLevel"/>
    <w:tmpl w:val="D67BA0D6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37CE1CF2"/>
    <w:multiLevelType w:val="singleLevel"/>
    <w:tmpl w:val="37CE1CF2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0"/>
  </w:num>
  <w:num w:numId="2">
    <w:abstractNumId w:val="1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林学铭">
    <w15:presenceInfo w15:providerId="WPS Office" w15:userId="351733314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65FAA543"/>
    <w:rsid w:val="6D9A6DDF"/>
    <w:rsid w:val="772D3F71"/>
    <w:rsid w:val="7FDD60D5"/>
    <w:rsid w:val="D9FF669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rPr>
      <w:rFonts w:ascii="Arial" w:hAnsi="Arial" w:eastAsia="Arial" w:cs="Arial"/>
      <w:sz w:val="24"/>
      <w:szCs w:val="24"/>
    </w:rPr>
  </w:style>
  <w:style w:type="paragraph" w:styleId="2">
    <w:name w:val="heading 1"/>
    <w:basedOn w:val="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basedOn w:val="1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basedOn w:val="1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basedOn w:val="1"/>
    <w:next w:val="1"/>
    <w:qFormat/>
    <w:uiPriority w:val="0"/>
    <w:rPr>
      <w:i/>
      <w:iCs/>
      <w:color w:val="2E74B5"/>
    </w:rPr>
  </w:style>
  <w:style w:type="paragraph" w:styleId="6">
    <w:name w:val="heading 5"/>
    <w:basedOn w:val="1"/>
    <w:next w:val="1"/>
    <w:qFormat/>
    <w:uiPriority w:val="0"/>
    <w:rPr>
      <w:color w:val="2E74B5"/>
    </w:rPr>
  </w:style>
  <w:style w:type="paragraph" w:styleId="7">
    <w:name w:val="heading 6"/>
    <w:basedOn w:val="1"/>
    <w:next w:val="1"/>
    <w:qFormat/>
    <w:uiPriority w:val="0"/>
    <w:rPr>
      <w:color w:val="1F4D78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annotation text"/>
    <w:basedOn w:val="1"/>
    <w:uiPriority w:val="0"/>
    <w:pPr>
      <w:jc w:val="left"/>
    </w:pPr>
  </w:style>
  <w:style w:type="paragraph" w:styleId="9">
    <w:name w:val="footnote text"/>
    <w:basedOn w:val="1"/>
    <w:link w:val="16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10">
    <w:name w:val="Title"/>
    <w:basedOn w:val="1"/>
    <w:next w:val="1"/>
    <w:qFormat/>
    <w:uiPriority w:val="0"/>
    <w:rPr>
      <w:sz w:val="56"/>
      <w:szCs w:val="56"/>
    </w:rPr>
  </w:style>
  <w:style w:type="character" w:styleId="13">
    <w:name w:val="Hyperlink"/>
    <w:unhideWhenUsed/>
    <w:uiPriority w:val="99"/>
    <w:rPr>
      <w:color w:val="0563C1"/>
      <w:u w:val="single"/>
    </w:rPr>
  </w:style>
  <w:style w:type="character" w:styleId="14">
    <w:name w:val="footnote reference"/>
    <w:semiHidden/>
    <w:unhideWhenUsed/>
    <w:uiPriority w:val="99"/>
    <w:rPr>
      <w:vertAlign w:val="superscript"/>
    </w:rPr>
  </w:style>
  <w:style w:type="paragraph" w:styleId="15">
    <w:name w:val="List Paragraph"/>
    <w:basedOn w:val="1"/>
    <w:qFormat/>
    <w:uiPriority w:val="0"/>
  </w:style>
  <w:style w:type="character" w:customStyle="1" w:styleId="16">
    <w:name w:val="Footnote Text Char"/>
    <w:link w:val="9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TotalTime>7</TotalTime>
  <ScaleCrop>false</ScaleCrop>
  <LinksUpToDate>false</LinksUpToDate>
  <Application>WPS Office_12.1.23540.23540_F1E327BC-269C-435d-A152-05C5408002CA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林学铭</cp:lastModifiedBy>
  <dcterms:modified xsi:type="dcterms:W3CDTF">2025-11-29T11:42:24Z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B8A5D23085755178BD6A2A69E5D31C60_42</vt:lpwstr>
  </property>
</Properties>
</file>