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F7695">
      <w:pPr>
        <w:pStyle w:val="2"/>
        <w:numPr>
          <w:ilvl w:val="0"/>
          <w:numId w:val="1"/>
        </w:numPr>
        <w:bidi w:val="0"/>
        <w:rPr>
          <w:rFonts w:hint="eastAsia"/>
        </w:rPr>
      </w:pPr>
      <w:commentRangeStart w:id="0"/>
      <w:r>
        <w:rPr>
          <w:rFonts w:hint="eastAsia"/>
        </w:rPr>
        <w:t>制定文章框架（按照刘gc上课讲的思路来）</w:t>
      </w:r>
      <w:commentRangeEnd w:id="0"/>
      <w:r>
        <w:commentReference w:id="0"/>
      </w:r>
    </w:p>
    <w:p w14:paraId="7D7C6E1E">
      <w:pPr>
        <w:ind w:firstLine="420" w:firstLineChars="0"/>
        <w:rPr>
          <w:rFonts w:hint="eastAsia"/>
        </w:rPr>
      </w:pPr>
      <w:r>
        <w:rPr>
          <w:rFonts w:hint="eastAsia"/>
        </w:rPr>
        <w:t>我们目前先从基础的入手，也是我们最基础的假设是：</w:t>
      </w:r>
    </w:p>
    <w:p w14:paraId="60189066">
      <w:pPr>
        <w:ind w:firstLine="420" w:firstLineChars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我们认为在24年末的回购金额可以计入公司分红金额的政策提出之后，回购所带来的超额收益的效应相比之前有所减弱。</w:t>
      </w:r>
    </w:p>
    <w:p w14:paraId="6F70E350">
      <w:pPr>
        <w:ind w:firstLine="420" w:firstLineChars="0"/>
        <w:rPr>
          <w:rFonts w:hint="eastAsia"/>
        </w:rPr>
      </w:pPr>
      <w:r>
        <w:rPr>
          <w:rFonts w:hint="eastAsia"/>
        </w:rPr>
        <w:t>采用事件研究法进行分析</w:t>
      </w:r>
    </w:p>
    <w:p w14:paraId="16F3A0E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Ca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r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=α+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∗Trea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∗Pos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∗Trea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∗Pos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+γ∗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Q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λ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μ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ε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</m:oMath>
      </m:oMathPara>
    </w:p>
    <w:p w14:paraId="448EF7D9">
      <w:pPr>
        <w:ind w:firstLine="420" w:firstLineChars="0"/>
        <w:rPr>
          <w:rFonts w:hint="eastAsia"/>
        </w:rPr>
      </w:pPr>
      <w:r>
        <w:rPr>
          <w:rFonts w:hint="eastAsia"/>
        </w:rPr>
        <w:t>Treat_i: 回购后都有分红的公司 = 1， 回购后从来不分红的公司 = 0</w:t>
      </w:r>
    </w:p>
    <w:p w14:paraId="646C5450">
      <w:pPr>
        <w:ind w:firstLine="420" w:firstLineChars="0"/>
        <w:rPr>
          <w:rFonts w:hint="eastAsia"/>
        </w:rPr>
      </w:pPr>
      <w:r>
        <w:rPr>
          <w:rFonts w:hint="eastAsia"/>
        </w:rPr>
        <w:t>Post_it: 回购处于政策发布前为0，处于政策发布后为1</w:t>
      </w:r>
    </w:p>
    <w:p w14:paraId="46EDDF7E">
      <w:pPr>
        <w:ind w:firstLine="420" w:firstLineChars="0"/>
        <w:rPr>
          <w:rFonts w:hint="eastAsia"/>
          <w:lang w:val="en-US" w:eastAsia="zh-CN"/>
        </w:rPr>
      </w:pPr>
      <m:oMath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λ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i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</m:sSub>
      </m:oMath>
      <w:r>
        <w:rPr>
          <w:rFonts w:hint="eastAsia" w:hAnsi="DejaVu Math TeX Gyre"/>
          <w:i w:val="0"/>
          <w:sz w:val="21"/>
          <w:lang w:eastAsia="zh-CN"/>
        </w:rPr>
        <w:t>：</w:t>
      </w:r>
      <w:r>
        <w:rPr>
          <w:rFonts w:hint="eastAsia"/>
          <w:lang w:val="en-US" w:eastAsia="zh-CN"/>
        </w:rPr>
        <w:t xml:space="preserve">代表个体固定效应 </w:t>
      </w:r>
    </w:p>
    <w:p w14:paraId="7D9DBC56">
      <w:pPr>
        <w:ind w:firstLine="420" w:firstLineChars="0"/>
        <w:rPr>
          <w:rFonts w:hint="eastAsia"/>
          <w:lang w:val="en-US" w:eastAsia="zh-CN"/>
        </w:rPr>
      </w:pPr>
      <m:oMath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μ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t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</m:sSub>
      </m:oMath>
      <w:r>
        <w:rPr>
          <w:rFonts w:hint="eastAsia" w:hAnsi="DejaVu Math TeX Gyre"/>
          <w:i w:val="0"/>
          <w:sz w:val="21"/>
          <w:lang w:eastAsia="zh-CN"/>
        </w:rPr>
        <w:t>：</w:t>
      </w:r>
      <w:r>
        <w:rPr>
          <w:rFonts w:hint="eastAsia"/>
          <w:lang w:val="en-US" w:eastAsia="zh-CN"/>
        </w:rPr>
        <w:t>代表时间固定效应</w:t>
      </w:r>
    </w:p>
    <w:p w14:paraId="1EBEAB84">
      <w:pPr>
        <w:ind w:firstLine="420" w:firstLineChars="0"/>
        <w:rPr>
          <w:rFonts w:hint="eastAsia"/>
          <w:lang w:val="en-US" w:eastAsia="zh-CN"/>
        </w:rPr>
      </w:pPr>
      <m:oMath>
        <m:sSub>
          <m:sSubPr>
            <m:ctrlPr>
              <w:rPr>
                <w:rFonts w:hint="default" w:ascii="DejaVu Math TeX Gyre" w:hAnsi="DejaVu Math TeX Gyre" w:eastAsiaTheme="minorEastAsia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Q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it</m:t>
            </m:r>
            <m:ctrlPr>
              <w:rPr>
                <w:rFonts w:ascii="DejaVu Math TeX Gyre" w:hAnsi="DejaVu Math TeX Gyre" w:eastAsiaTheme="minorEastAsia"/>
                <w:sz w:val="21"/>
              </w:rPr>
            </m:ctrlPr>
          </m:sub>
        </m:sSub>
      </m:oMath>
      <w:r>
        <w:rPr>
          <w:rFonts w:hint="eastAsia" w:hAnsi="DejaVu Math TeX Gyre"/>
          <w:i w:val="0"/>
          <w:sz w:val="21"/>
          <w:lang w:eastAsia="zh-CN"/>
        </w:rPr>
        <w:t>：</w:t>
      </w:r>
      <w:r>
        <w:rPr>
          <w:rFonts w:hint="eastAsia"/>
          <w:lang w:val="en-US" w:eastAsia="zh-CN"/>
        </w:rPr>
        <w:t>代表了模型中所有控制变量的集体影响</w:t>
      </w:r>
    </w:p>
    <w:p w14:paraId="269E0CE1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控制变量选取</w:t>
      </w:r>
      <w:r>
        <w:commentReference w:id="1"/>
      </w:r>
    </w:p>
    <w:p w14:paraId="0737F1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参考其他文章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控制变量先找起来</w:t>
      </w:r>
    </w:p>
    <w:p w14:paraId="54996D2F">
      <w:pPr>
        <w:rPr>
          <w:rFonts w:hint="default"/>
          <w:lang w:val="en-US" w:eastAsia="zh-CN"/>
        </w:rPr>
      </w:pPr>
    </w:p>
    <w:p w14:paraId="7E553980">
      <w:pPr>
        <w:pStyle w:val="2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commentRangeStart w:id="2"/>
      <w:r>
        <w:rPr>
          <w:rFonts w:hint="eastAsia"/>
          <w:b/>
          <w:lang w:val="en-US" w:eastAsia="zh-CN"/>
        </w:rPr>
        <w:t>数据可视化</w:t>
      </w:r>
      <w:commentRangeEnd w:id="2"/>
      <w:r>
        <w:commentReference w:id="2"/>
      </w:r>
    </w:p>
    <w:p w14:paraId="476DF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数据可视化</w:t>
      </w:r>
      <w:r>
        <w:rPr>
          <w:rFonts w:hint="eastAsia"/>
          <w:lang w:val="en-US" w:eastAsia="zh-CN"/>
        </w:rPr>
        <w:t>，看一下公司回购数量的分布情况</w:t>
      </w:r>
    </w:p>
    <w:p w14:paraId="20F1ABD7">
      <w:pPr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b/>
          <w:bCs/>
          <w:u w:val="single"/>
          <w:lang w:val="en-US" w:eastAsia="zh-CN"/>
        </w:rPr>
        <w:t>描述性统计！</w:t>
      </w:r>
    </w:p>
    <w:p w14:paraId="44A937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·把申报书那些可视化再做一遍</w:t>
      </w:r>
    </w:p>
    <w:p w14:paraId="6901C6C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commentRangeStart w:id="3"/>
      <w:r>
        <w:rPr>
          <w:rFonts w:hint="eastAsia"/>
          <w:b/>
          <w:lang w:val="en-US" w:eastAsia="zh-CN"/>
        </w:rPr>
        <w:t>数据处理</w:t>
      </w:r>
      <w:commentRangeEnd w:id="3"/>
      <w:r>
        <w:commentReference w:id="3"/>
      </w:r>
    </w:p>
    <w:p w14:paraId="5B1F1C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（1）对所有统计的回购事件按照公司-时间划分</w:t>
      </w:r>
    </w:p>
    <w:p w14:paraId="28CC3D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·先筛选出在24年末前后均有发布回购方案的公司</w:t>
      </w:r>
    </w:p>
    <w:p w14:paraId="6A820F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·回购处于政策发布前为0，处于政策发布后为1</w:t>
      </w:r>
    </w:p>
    <w:p w14:paraId="5CBFD1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</w:t>
      </w:r>
      <w:r>
        <w:rPr>
          <w:rFonts w:hint="eastAsia"/>
        </w:rPr>
        <w:t>Post_it: 回购处于政策发布前为0，处于政策发布后为1</w:t>
      </w:r>
      <w:r>
        <w:rPr>
          <w:rFonts w:hint="eastAsia"/>
          <w:lang w:val="en-US" w:eastAsia="zh-CN"/>
        </w:rPr>
        <w:t>）</w:t>
      </w:r>
    </w:p>
    <w:p w14:paraId="71B992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（2）按公司划分，分别计算（1）中0、1回购在不同时间区间内所获得的超额收益Car_it</w:t>
      </w:r>
    </w:p>
    <w:p w14:paraId="239C3C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（3）打标签Treat_i: 回购后都有分红的公司 = 1， 回购后从来不分红的公司 = 0</w:t>
      </w:r>
    </w:p>
    <w:p w14:paraId="1C19E4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BC42951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commentRangeStart w:id="4"/>
      <w:r>
        <w:rPr>
          <w:rFonts w:hint="eastAsia"/>
          <w:b/>
          <w:lang w:val="en-US" w:eastAsia="zh-CN"/>
        </w:rPr>
        <w:t>文章撰写</w:t>
      </w:r>
      <w:commentRangeEnd w:id="4"/>
      <w:r>
        <w:commentReference w:id="4"/>
      </w:r>
    </w:p>
    <w:p w14:paraId="1FA08F69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先结合下我们的申报书和我们现在的基础假设论证，写写抄抄：</w:t>
      </w:r>
    </w:p>
    <w:p w14:paraId="76B7828C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5F4A65D4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以往文献研究认为回购方案的提出在短期内会带来显著的超额收益【</w:t>
      </w:r>
      <w:bookmarkStart w:id="0" w:name="_GoBack"/>
      <w:bookmarkEnd w:id="0"/>
      <w:r>
        <w:rPr>
          <w:rFonts w:hint="eastAsia"/>
          <w:lang w:val="en-US" w:eastAsia="zh-CN"/>
        </w:rPr>
        <w:t>给出具体文献】</w:t>
      </w:r>
    </w:p>
    <w:p w14:paraId="011E8A6B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政策背景介绍</w:t>
      </w:r>
    </w:p>
    <w:p w14:paraId="5A44FF8A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使用的方法、模型的文献依据</w:t>
      </w:r>
    </w:p>
    <w:p w14:paraId="171FABC8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更具体到计算超额收益时的时间区间的选择（提供文献依据）+ 控制变量的选择</w:t>
      </w:r>
    </w:p>
    <w:p w14:paraId="45AA68FA">
      <w:pPr>
        <w:ind w:firstLine="420" w:firstLineChars="0"/>
        <w:rPr>
          <w:rFonts w:hint="eastAsia"/>
          <w:lang w:val="en-US" w:eastAsia="zh-CN"/>
        </w:rPr>
      </w:pPr>
    </w:p>
    <w:p w14:paraId="5E661E14">
      <w:pPr>
        <w:ind w:firstLine="420" w:firstLineChars="0"/>
        <w:rPr>
          <w:rFonts w:hint="eastAsia"/>
          <w:lang w:val="en-US" w:eastAsia="zh-CN"/>
        </w:rPr>
      </w:pPr>
    </w:p>
    <w:p w14:paraId="3DF2B4DC">
      <w:pPr>
        <w:ind w:firstLine="42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林学铭" w:date="2025-11-29T10:23:54Z" w:initials="">
    <w:p w14:paraId="2905F3A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学铭</w:t>
      </w:r>
    </w:p>
    <w:p w14:paraId="51B3600F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先把这个搞出来</w:t>
      </w:r>
    </w:p>
  </w:comment>
  <w:comment w:id="1" w:author="林学铭" w:date="2025-11-29T10:21:21Z" w:initials="">
    <w:p w14:paraId="43211042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怡婷</w:t>
      </w:r>
    </w:p>
  </w:comment>
  <w:comment w:id="2" w:author="林学铭" w:date="2025-11-29T10:24:49Z" w:initials="">
    <w:p w14:paraId="3B08F882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学铭</w:t>
      </w:r>
    </w:p>
  </w:comment>
  <w:comment w:id="3" w:author="林学铭" w:date="2025-11-29T10:23:21Z" w:initials="">
    <w:p w14:paraId="04B9C71E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泽平、鹏宇</w:t>
      </w:r>
    </w:p>
  </w:comment>
  <w:comment w:id="4" w:author="林学铭" w:date="2025-11-29T10:22:06Z" w:initials="">
    <w:p w14:paraId="70C4EB5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小傅</w:t>
      </w:r>
    </w:p>
    <w:p w14:paraId="3DEDDAC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按照后面的大纲</w:t>
      </w:r>
    </w:p>
    <w:p w14:paraId="32827766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给你标红的先写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1B3600F" w15:done="0"/>
  <w15:commentEx w15:paraId="43211042" w15:done="0"/>
  <w15:commentEx w15:paraId="3B08F882" w15:done="0"/>
  <w15:commentEx w15:paraId="04B9C71E" w15:done="0"/>
  <w15:commentEx w15:paraId="3282776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+中文正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楷体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 Bold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ED205"/>
    <w:multiLevelType w:val="singleLevel"/>
    <w:tmpl w:val="FFEED205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7FB809DA"/>
    <w:multiLevelType w:val="singleLevel"/>
    <w:tmpl w:val="7FB809D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林学铭">
    <w15:presenceInfo w15:providerId="WPS Office" w15:userId="35173331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EE7EF"/>
    <w:rsid w:val="342BD3FB"/>
    <w:rsid w:val="6E5EE7EF"/>
    <w:rsid w:val="73732F73"/>
    <w:rsid w:val="77A6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Kaiti SC Bold" w:asciiTheme="minorAscii" w:hAnsiTheme="minorAscii"/>
      <w:b/>
      <w:kern w:val="44"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2025-11-28T23:27:00Z</dcterms:created>
  <dc:creator>林学铭</dc:creator>
  <cp:lastModifiedBy>林学铭</cp:lastModifiedBy>
  <dcterms:modified xsi:type="dcterms:W3CDTF">2025-11-29T10:25:30Z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F4195A09C717D9354EBF29694B03690E_41</vt:lpwstr>
  </property>
</Properties>
</file>