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42951">
      <w:pPr>
        <w:jc w:val="center"/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文章撰写</w:t>
      </w:r>
    </w:p>
    <w:p w14:paraId="59313B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楷体" w:hAnsi="楷体" w:eastAsia="楷体" w:cs="楷体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  <w:t>引言</w:t>
      </w:r>
    </w:p>
    <w:p w14:paraId="1ECC7B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default" w:ascii="楷体" w:hAnsi="楷体" w:eastAsia="楷体" w:cs="楷体"/>
          <w:b/>
          <w:bCs/>
          <w:color w:val="auto"/>
          <w:sz w:val="22"/>
          <w:szCs w:val="28"/>
          <w:lang w:val="en-US" w:eastAsia="zh-CN"/>
        </w:rPr>
      </w:pPr>
      <w:r>
        <w:rPr>
          <w:rFonts w:hint="default" w:ascii="楷体" w:hAnsi="楷体" w:eastAsia="楷体" w:cs="楷体"/>
          <w:b/>
          <w:bCs/>
          <w:color w:val="auto"/>
          <w:sz w:val="22"/>
          <w:szCs w:val="28"/>
          <w:lang w:val="en-US" w:eastAsia="zh-CN"/>
        </w:rPr>
        <w:t>制度背景与理论分析</w:t>
      </w:r>
    </w:p>
    <w:p w14:paraId="3497CBB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i/>
          <w:iCs/>
          <w:color w:val="auto"/>
          <w:lang w:val="en-US" w:eastAsia="zh-CN"/>
        </w:rPr>
      </w:pPr>
      <w:r>
        <w:rPr>
          <w:rFonts w:hint="default"/>
          <w:i/>
          <w:iCs/>
          <w:color w:val="auto"/>
          <w:lang w:val="en-US" w:eastAsia="zh-CN"/>
        </w:rPr>
        <w:t>1.</w:t>
      </w:r>
      <w:r>
        <w:rPr>
          <w:rFonts w:hint="eastAsia"/>
          <w:i/>
          <w:iCs/>
          <w:color w:val="auto"/>
          <w:lang w:val="en-US" w:eastAsia="zh-CN"/>
        </w:rPr>
        <w:t>研究背景（政策——现象——缺口）</w:t>
      </w:r>
    </w:p>
    <w:p w14:paraId="3A7563D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auto"/>
          <w:lang w:val="en-US" w:eastAsia="zh-CN"/>
        </w:rPr>
        <w:t>新“国九条”与2024《股票上市规则》将“回购注销金额计入现金分红金额”，推动注销式回购激增。市场回购数量增加、注销式回购占比上升，但短期超额收益显著性反而下降（引用申请书图）。</w:t>
      </w:r>
      <w:r>
        <w:rPr>
          <w:rFonts w:hint="default"/>
          <w:color w:val="0000FF"/>
          <w:u w:val="single"/>
          <w:lang w:val="en-US" w:eastAsia="zh-CN"/>
        </w:rPr>
        <w:t>市场出现一种新现象：以现金分红替代为目的的回购行为激增。</w:t>
      </w:r>
      <w:r>
        <w:rPr>
          <w:rFonts w:hint="eastAsia"/>
          <w:color w:val="0000FF"/>
          <w:u w:val="single"/>
          <w:lang w:val="en-US" w:eastAsia="zh-CN"/>
        </w:rPr>
        <w:t>（是否以分红为目的存疑，描述下24年末前后回购数量对比即可）</w:t>
      </w:r>
    </w:p>
    <w:p w14:paraId="552045F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i/>
          <w:iCs/>
          <w:color w:val="auto"/>
          <w:lang w:val="en-US" w:eastAsia="zh-CN"/>
        </w:rPr>
        <w:t>研究问题（核心的研究，假说：命题）</w:t>
      </w:r>
      <w:r>
        <w:rPr>
          <w:rFonts w:hint="eastAsia"/>
          <w:color w:val="auto"/>
          <w:lang w:val="en-US" w:eastAsia="zh-CN"/>
        </w:rPr>
        <w:t>：</w:t>
      </w:r>
    </w:p>
    <w:p w14:paraId="155C0329"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政策赋予回购“分红属性”后，“分红式回购”是否仍具备以往文献发现的“正超额收益”信号效应？</w:t>
      </w:r>
      <w:bookmarkStart w:id="0" w:name="_GoBack"/>
      <w:bookmarkEnd w:id="0"/>
    </w:p>
    <w:p w14:paraId="3509256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i/>
          <w:iCs/>
          <w:color w:val="auto"/>
          <w:lang w:val="en-US" w:eastAsia="zh-CN"/>
        </w:rPr>
        <w:t>研究贡献（理论、实证、政策、方法贡献</w:t>
      </w:r>
      <w:r>
        <w:rPr>
          <w:rFonts w:hint="eastAsia"/>
          <w:color w:val="auto"/>
          <w:lang w:val="en-US" w:eastAsia="zh-CN"/>
        </w:rPr>
        <w:t>）</w:t>
      </w:r>
    </w:p>
    <w:p w14:paraId="76B7828C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5F4A65D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以往文献研究认为回购方案的提出在短期内会带来显著的超额收益【给出具体文献】</w:t>
      </w:r>
    </w:p>
    <w:p w14:paraId="011E8A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政策背景介绍</w:t>
      </w:r>
    </w:p>
    <w:p w14:paraId="60A62E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  <w:t>理论框架（树干：x对y的理论逻辑）</w:t>
      </w:r>
    </w:p>
    <w:p w14:paraId="79434C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i/>
          <w:iCs/>
          <w:color w:val="auto"/>
          <w:lang w:val="en-US" w:eastAsia="zh-CN"/>
        </w:rPr>
      </w:pPr>
      <w:r>
        <w:rPr>
          <w:rFonts w:hint="default"/>
          <w:b/>
          <w:bCs/>
          <w:i/>
          <w:iCs/>
          <w:color w:val="auto"/>
          <w:lang w:val="en-US" w:eastAsia="zh-CN"/>
        </w:rPr>
        <w:t>1.回购与超额收益的经典理论（信号传递理论）</w:t>
      </w:r>
    </w:p>
    <w:p w14:paraId="751C7F1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</w:t>
      </w:r>
      <w:r>
        <w:rPr>
          <w:rFonts w:hint="default"/>
          <w:color w:val="auto"/>
          <w:lang w:val="en-US" w:eastAsia="zh-CN"/>
        </w:rPr>
        <w:t>管理层通过回购向市场传递“股票被低估”的信号。</w:t>
      </w:r>
      <w:r>
        <w:rPr>
          <w:rFonts w:hint="eastAsia"/>
          <w:color w:val="auto"/>
          <w:lang w:val="en-US" w:eastAsia="zh-CN"/>
        </w:rPr>
        <w:t>（2）</w:t>
      </w:r>
      <w:r>
        <w:rPr>
          <w:rFonts w:hint="default"/>
          <w:color w:val="auto"/>
          <w:lang w:val="en-US" w:eastAsia="zh-CN"/>
        </w:rPr>
        <w:t>文献指出公告日短期通常有显著CAR（Dann,Vermaelen, Liano等</w:t>
      </w:r>
      <w:r>
        <w:rPr>
          <w:rFonts w:hint="eastAsia"/>
          <w:color w:val="auto"/>
          <w:lang w:val="en-US" w:eastAsia="zh-CN"/>
        </w:rPr>
        <w:t>，申请书中国内外研究现状的（二）</w:t>
      </w:r>
      <w:r>
        <w:rPr>
          <w:rFonts w:hint="default"/>
          <w:color w:val="auto"/>
          <w:lang w:val="en-US" w:eastAsia="zh-CN"/>
        </w:rPr>
        <w:t>）。</w:t>
      </w:r>
    </w:p>
    <w:p w14:paraId="0FBDD0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i/>
          <w:iCs/>
          <w:color w:val="auto"/>
          <w:lang w:val="en-US" w:eastAsia="zh-CN"/>
        </w:rPr>
      </w:pPr>
      <w:r>
        <w:rPr>
          <w:rFonts w:hint="default"/>
          <w:b/>
          <w:bCs/>
          <w:i/>
          <w:iCs/>
          <w:color w:val="auto"/>
          <w:lang w:val="en-US" w:eastAsia="zh-CN"/>
        </w:rPr>
        <w:t>2.现金分红与回购的替代关系（资本分配理论）</w:t>
      </w:r>
    </w:p>
    <w:p w14:paraId="17B20AA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</w:t>
      </w:r>
      <w:r>
        <w:rPr>
          <w:rFonts w:hint="default"/>
          <w:color w:val="auto"/>
          <w:lang w:val="en-US" w:eastAsia="zh-CN"/>
        </w:rPr>
        <w:t>回购可以替代分红（Grullon、DeAngelo等）。</w:t>
      </w:r>
      <w:r>
        <w:rPr>
          <w:rFonts w:hint="eastAsia"/>
          <w:color w:val="auto"/>
          <w:lang w:val="en-US" w:eastAsia="zh-CN"/>
        </w:rPr>
        <w:t>（2）</w:t>
      </w:r>
      <w:r>
        <w:rPr>
          <w:rFonts w:hint="default"/>
          <w:color w:val="auto"/>
          <w:lang w:val="en-US" w:eastAsia="zh-CN"/>
        </w:rPr>
        <w:t>政策改变后，注销式回购获得“分红属性”，可能弱化“估值信号”。</w:t>
      </w:r>
    </w:p>
    <w:p w14:paraId="60C77E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i/>
          <w:iCs/>
          <w:color w:val="auto"/>
          <w:lang w:val="en-US" w:eastAsia="zh-CN"/>
        </w:rPr>
      </w:pPr>
      <w:r>
        <w:rPr>
          <w:rFonts w:hint="default"/>
          <w:b/>
          <w:bCs/>
          <w:i/>
          <w:iCs/>
          <w:color w:val="auto"/>
          <w:lang w:val="en-US" w:eastAsia="zh-CN"/>
        </w:rPr>
        <w:t>3.本文核心理论命题</w:t>
      </w:r>
    </w:p>
    <w:p w14:paraId="5AEFE6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H1：政策赋予分红属性后，“分红式回购”不再具有显著正的短期超额收益。</w:t>
      </w:r>
    </w:p>
    <w:p w14:paraId="3E39F09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</w:t>
      </w:r>
      <w:r>
        <w:rPr>
          <w:rFonts w:hint="eastAsia"/>
          <w:color w:val="C00000"/>
          <w:lang w:val="en-US" w:eastAsia="zh-CN"/>
        </w:rPr>
        <w:t>先写H1，下面两个随便写一点就好</w:t>
      </w:r>
      <w:r>
        <w:rPr>
          <w:rFonts w:hint="eastAsia"/>
          <w:color w:val="auto"/>
          <w:lang w:val="en-US" w:eastAsia="zh-CN"/>
        </w:rPr>
        <w:t>）</w:t>
      </w:r>
    </w:p>
    <w:p w14:paraId="73D4AFF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H2：“分红式回购”改变了公司使用回购的动机，使得部分回购不再用于传递股价低估信号。</w:t>
      </w:r>
    </w:p>
    <w:p w14:paraId="743C6AB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H3：分红式回购对公司长期财务绩效的影响不同于传统注销式回购。</w:t>
      </w:r>
    </w:p>
    <w:p w14:paraId="5F1225F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i/>
          <w:iCs/>
          <w:color w:val="auto"/>
          <w:lang w:val="en-US" w:eastAsia="zh-CN"/>
        </w:rPr>
      </w:pPr>
      <w:r>
        <w:rPr>
          <w:rFonts w:hint="eastAsia"/>
          <w:b/>
          <w:bCs/>
          <w:i/>
          <w:iCs/>
          <w:color w:val="auto"/>
          <w:lang w:val="en-US" w:eastAsia="zh-CN"/>
        </w:rPr>
        <w:t>4.数据来源与样本构建（申请书的数据来源和前期基础）</w:t>
      </w:r>
    </w:p>
    <w:p w14:paraId="1CCC2E6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auto"/>
          <w:lang w:val="en-US" w:eastAsia="zh-CN"/>
        </w:rPr>
        <w:t>（1）数据库xxx；区分：</w:t>
      </w:r>
      <w:r>
        <w:rPr>
          <w:rFonts w:hint="eastAsia"/>
          <w:b/>
          <w:bCs/>
          <w:i/>
          <w:iCs/>
          <w:color w:val="auto"/>
          <w:u w:val="single"/>
          <w:lang w:val="en-US" w:eastAsia="zh-CN"/>
        </w:rPr>
        <w:t>前面数据处理的内容</w:t>
      </w:r>
    </w:p>
    <w:p w14:paraId="78D27BF2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使用的方法、模型的文献依据</w:t>
      </w:r>
    </w:p>
    <w:p w14:paraId="443B2810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auto"/>
          <w:lang w:val="en-US" w:eastAsia="zh-CN"/>
        </w:rPr>
        <w:t>控制变量的选取</w:t>
      </w:r>
    </w:p>
    <w:p w14:paraId="7333C9B7"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更具体到计算超额收益时的时间区间的选择（提供文献依据）</w:t>
      </w:r>
    </w:p>
    <w:p w14:paraId="75CC8C4B">
      <w:pPr>
        <w:widowControl w:val="0"/>
        <w:numPr>
          <w:numId w:val="0"/>
        </w:numPr>
        <w:jc w:val="both"/>
        <w:rPr>
          <w:rFonts w:hint="eastAsia"/>
          <w:color w:val="0000FF"/>
          <w:lang w:val="en-US" w:eastAsia="zh-CN"/>
        </w:rPr>
      </w:pPr>
    </w:p>
    <w:p w14:paraId="639E71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  <w:t>作用机制：如何识别“分红式回购”（回答为什么x会影响y，理论链接结果）</w:t>
      </w:r>
    </w:p>
    <w:p w14:paraId="04E603D1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1。比如政策前后回购变化幅度、回购后car是否显著、回购金额与分红金额关系、公司规模及行业属性、回购目的（confidence？）类似这些。</w:t>
      </w:r>
    </w:p>
    <w:p w14:paraId="50FAFD0E">
      <w:pPr>
        <w:widowControl w:val="0"/>
        <w:numPr>
          <w:ilvl w:val="0"/>
          <w:numId w:val="4"/>
        </w:numPr>
        <w:ind w:left="420"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作用机制步骤、</w:t>
      </w:r>
      <w:r>
        <w:rPr>
          <w:rFonts w:hint="eastAsia"/>
          <w:color w:val="0000FF"/>
          <w:lang w:val="en-US" w:eastAsia="zh-CN"/>
        </w:rPr>
        <w:t>由于替代分红目的的增强怎么了</w:t>
      </w:r>
    </w:p>
    <w:p w14:paraId="4AC3E9EA">
      <w:pPr>
        <w:widowControl w:val="0"/>
        <w:numPr>
          <w:ilvl w:val="0"/>
          <w:numId w:val="4"/>
        </w:numPr>
        <w:ind w:left="420"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识别结果。</w:t>
      </w:r>
    </w:p>
    <w:p w14:paraId="529E16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  <w:t>树枝，长期效应：（因子分析+DID）检验财务绩效</w:t>
      </w:r>
    </w:p>
    <w:p w14:paraId="46A9EA6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5.1模型</w:t>
      </w:r>
    </w:p>
    <w:p w14:paraId="6CAF8707">
      <w:pPr>
        <w:widowControl w:val="0"/>
        <w:numPr>
          <w:ilvl w:val="0"/>
          <w:numId w:val="0"/>
        </w:numPr>
        <w:ind w:firstLine="420" w:firstLineChars="0"/>
        <w:jc w:val="both"/>
        <w:rPr>
          <w:rFonts w:hAnsi="DejaVu Math TeX Gyre" w:eastAsiaTheme="minorEastAsia"/>
          <w:i w:val="0"/>
          <w:sz w:val="21"/>
        </w:rPr>
      </w:pPr>
      <m:oMathPara>
        <m:oMathParaPr>
          <m:jc m:val="left"/>
        </m:oMathParaPr>
        <m:oMath>
          <m:r>
            <m:rPr/>
            <w:rPr>
              <w:rFonts w:hint="default" w:ascii="DejaVu Math TeX Gyre" w:hAnsi="DejaVu Math TeX Gyre" w:eastAsiaTheme="minorEastAsia"/>
              <w:sz w:val="21"/>
            </w:rPr>
            <m:t>Ca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r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=α+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1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∗Trea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2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∗Pos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β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3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∗Trea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∗Pos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+γ∗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Q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λ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μ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 w:eastAsiaTheme="minorEastAsia"/>
              <w:sz w:val="21"/>
            </w:rPr>
            <m:t>+</m:t>
          </m:r>
          <m:sSub>
            <m:sSubPr>
              <m:ctrlPr>
                <w:rPr>
                  <w:rFonts w:hint="default" w:ascii="DejaVu Math TeX Gyre" w:hAnsi="DejaVu Math TeX Gyre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ε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Theme="minorEastAsia"/>
                  <w:sz w:val="21"/>
                </w:rPr>
                <m:t>it</m:t>
              </m:r>
              <m:ctrlPr>
                <w:rPr>
                  <w:rFonts w:ascii="DejaVu Math TeX Gyre" w:hAnsi="DejaVu Math TeX Gyre" w:eastAsiaTheme="minorEastAsia"/>
                  <w:sz w:val="21"/>
                </w:rPr>
              </m:ctrlPr>
            </m:sub>
          </m:sSub>
        </m:oMath>
      </m:oMathPara>
    </w:p>
    <w:p w14:paraId="14E2BAF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hAnsi="DejaVu Math TeX Gyre" w:eastAsiaTheme="minorEastAsia"/>
          <w:i w:val="0"/>
          <w:sz w:val="21"/>
          <w:lang w:val="en-US" w:eastAsia="zh-CN"/>
        </w:rPr>
      </w:pPr>
      <w:r>
        <w:rPr>
          <w:rFonts w:hint="eastAsia"/>
          <w:color w:val="0000FF"/>
          <w:lang w:val="en-US" w:eastAsia="zh-CN"/>
        </w:rPr>
        <w:t>5.3稳健型检验（控制变量调整、行业/规模匹配）</w:t>
      </w:r>
    </w:p>
    <w:p w14:paraId="1BD35A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  <w:t>结果总结（串起来树干、树根、树枝）</w:t>
      </w:r>
    </w:p>
    <w:p w14:paraId="7FA17D6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短期长期、机制等</w:t>
      </w:r>
    </w:p>
    <w:p w14:paraId="5E661E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22"/>
          <w:szCs w:val="28"/>
          <w:lang w:val="en-US" w:eastAsia="zh-CN"/>
        </w:rPr>
        <w:t>政策建议</w:t>
      </w:r>
    </w:p>
    <w:p w14:paraId="3DF2B4DC">
      <w:pPr>
        <w:ind w:firstLine="420" w:firstLine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kayaKanadaka">
    <w:panose1 w:val="02010502080401010103"/>
    <w:charset w:val="00"/>
    <w:family w:val="auto"/>
    <w:pitch w:val="default"/>
    <w:sig w:usb0="00400007" w:usb1="00000000" w:usb2="00000000" w:usb3="00000000" w:csb0="20000093" w:csb1="00000000"/>
  </w:font>
  <w:font w:name="KTJ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BA0D6"/>
    <w:multiLevelType w:val="singleLevel"/>
    <w:tmpl w:val="D67BA0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EFFD5E2"/>
    <w:multiLevelType w:val="singleLevel"/>
    <w:tmpl w:val="3EFFD5E2"/>
    <w:lvl w:ilvl="0" w:tentative="0">
      <w:start w:val="2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2">
    <w:nsid w:val="73EF1BE6"/>
    <w:multiLevelType w:val="singleLevel"/>
    <w:tmpl w:val="73EF1BE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FB809DA"/>
    <w:multiLevelType w:val="singleLevel"/>
    <w:tmpl w:val="7FB809DA"/>
    <w:lvl w:ilvl="0" w:tentative="0">
      <w:start w:val="1"/>
      <w:numFmt w:val="decimal"/>
      <w:suff w:val="nothing"/>
      <w:lvlText w:val="（%1）"/>
      <w:lvlJc w:val="left"/>
      <w:rPr>
        <w:rFonts w:hint="default"/>
        <w:color w:val="auto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EE7EF"/>
    <w:rsid w:val="278AA423"/>
    <w:rsid w:val="6E5EE7EF"/>
    <w:rsid w:val="AFBE8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2025-11-29T15:27:00Z</dcterms:created>
  <dc:creator>林学铭</dc:creator>
  <cp:lastModifiedBy>林学铭</cp:lastModifiedBy>
  <dcterms:modified xsi:type="dcterms:W3CDTF">2025-11-29T10:48:44Z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C2523CCB05F775080C5F2A6983B85910_43</vt:lpwstr>
  </property>
</Properties>
</file>