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46C43"/>
          <w:sz w:val="64"/>
          <w:szCs w:val="64"/>
        </w:rPr>
        <w:t xml:space="preserve">ALLCURO</w:t>
      </w:r>
    </w:p>
    <w:p>
      <w:pPr>
        <w:spacing w:after="400" w:before="120"/>
        <w:jc w:val="center"/>
      </w:pPr>
      <w:r>
        <w:rPr>
          <w:color w:val="595959"/>
          <w:sz w:val="28"/>
          <w:szCs w:val="28"/>
        </w:rPr>
        <w:t xml:space="preserve">Home Nursing Care Services</w:t>
      </w:r>
    </w:p>
    <w:p>
      <w:pPr>
        <w:spacing w:before="800"/>
        <w:jc w:val="center"/>
      </w:pPr>
      <w:r>
        <w:rPr>
          <w:b/>
          <w:bCs/>
          <w:color w:val="1F1F1F"/>
          <w:sz w:val="38"/>
          <w:szCs w:val="38"/>
        </w:rPr>
        <w:t xml:space="preserve">Service Catalog &amp; Pricing Benchmark</w:t>
      </w:r>
    </w:p>
    <w:p>
      <w:pPr>
        <w:spacing w:after="1600" w:before="120"/>
        <w:jc w:val="center"/>
      </w:pPr>
      <w:r>
        <w:rPr>
          <w:i/>
          <w:iCs/>
          <w:color w:val="595959"/>
          <w:sz w:val="22"/>
          <w:szCs w:val="22"/>
        </w:rPr>
        <w:t xml:space="preserve">High-Skill Clinical vs. Normal Support Services — Compared to Market</w:t>
      </w:r>
    </w:p>
    <w:p>
      <w:pPr>
        <w:spacing w:before="2200"/>
        <w:jc w:val="center"/>
      </w:pPr>
      <w:r>
        <w:rPr>
          <w:b/>
          <w:bCs/>
          <w:sz w:val="24"/>
          <w:szCs w:val="24"/>
        </w:rPr>
        <w:t xml:space="preserve">Prepared by: Rajeshwari</w:t>
      </w:r>
    </w:p>
    <w:p>
      <w:pPr>
        <w:spacing w:before="80"/>
        <w:jc w:val="center"/>
      </w:pPr>
      <w:r>
        <w:rPr>
          <w:color w:val="595959"/>
          <w:sz w:val="20"/>
          <w:szCs w:val="20"/>
        </w:rPr>
        <w:t xml:space="preserve">5 September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46C43" w:sz="8" w:space="4"/>
        </w:pBdr>
        <w:spacing w:after="200" w:before="400"/>
      </w:pPr>
      <w:r>
        <w:rPr>
          <w:b/>
          <w:bCs/>
          <w:color w:val="146C43"/>
          <w:sz w:val="30"/>
          <w:szCs w:val="30"/>
        </w:rPr>
        <w:t xml:space="preserve">How to Read This Catalog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Category A — High-Skill Clinical Services: require a licensed nurse (ANM/GNM/B.Sc) or certified physiotherapist. Involves assessment, medication, or clinical intervention.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Category B — Normal / Non-Skilled Support Services: delivered by a trained GDA (General Duty Assistant) or caregiver. Covers assistance, mobility, hygiene, and companionship — no clinical intervention.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Category C — Specialized Add-Ons: doctor visits, diagnostics, and equipment — sourced via partners rather than Allcuro's own nurse/caregiver pool.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“Allcuro Price” is a proposed pilot rate, positioned slightly below the market range to win trust and volume in the first 3–6 months.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“Market Range” reflects published/typical Delhi-NCR rates from agencies such as Portea, Care24, Nightingales/HCAH, and Emoha.</w:t>
      </w:r>
    </w:p>
    <w:p>
      <w:pPr>
        <w:pStyle w:val="Heading1"/>
        <w:pBdr>
          <w:bottom w:val="single" w:color="146C43" w:sz="8" w:space="4"/>
        </w:pBdr>
        <w:spacing w:after="200" w:before="400"/>
      </w:pPr>
      <w:r>
        <w:rPr>
          <w:b/>
          <w:bCs/>
          <w:color w:val="146C43"/>
          <w:sz w:val="30"/>
          <w:szCs w:val="30"/>
        </w:rPr>
        <w:t xml:space="preserve">Category A — High-Skill Clinical Nursing Services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400"/>
        <w:gridCol w:w="2000"/>
        <w:gridCol w:w="2100"/>
      </w:tblGrid>
      <w:tr>
        <w:trPr>
          <w:tblHeader/>
        </w:trPr>
        <w:tc>
          <w:tcPr>
            <w:tcW w:type="dxa" w:w="3300"/>
            <w:shd w:fill="146C4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400"/>
            <w:shd w:fill="146C4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Who Provides It</w:t>
            </w:r>
          </w:p>
        </w:tc>
        <w:tc>
          <w:tcPr>
            <w:tcW w:type="dxa" w:w="2000"/>
            <w:shd w:fill="146C4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Allcuro Price</w:t>
            </w:r>
          </w:p>
        </w:tc>
        <w:tc>
          <w:tcPr>
            <w:tcW w:type="dxa" w:w="2100"/>
            <w:shd w:fill="146C4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Market Range (Delhi-NCR)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General Nursing Visit (vitals, monitoring, 1–2 hrs)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ANM / GNM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₹450–600 / visit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₹500–800 / visit</w:t>
            </w:r>
          </w:p>
        </w:tc>
      </w:tr>
      <w:tr>
        <w:tc>
          <w:tcPr>
            <w:tcW w:type="dxa" w:w="33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Post-Op Wound Dressing &amp; Drain Care</w:t>
            </w:r>
          </w:p>
        </w:tc>
        <w:tc>
          <w:tcPr>
            <w:tcW w:type="dxa" w:w="24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GNM / B.Sc Nursing</w:t>
            </w:r>
          </w:p>
        </w:tc>
        <w:tc>
          <w:tcPr>
            <w:tcW w:type="dxa" w:w="20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₹500–700 / visit</w:t>
            </w:r>
          </w:p>
        </w:tc>
        <w:tc>
          <w:tcPr>
            <w:tcW w:type="dxa" w:w="21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₹600–900 / visit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Injection / IV Cannula / Medication Administration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GNM / B.Sc Nursing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₹400–600 / visit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₹450–700 / visit</w:t>
            </w:r>
          </w:p>
        </w:tc>
      </w:tr>
      <w:tr>
        <w:tc>
          <w:tcPr>
            <w:tcW w:type="dxa" w:w="33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Catheter &amp; Ryle's Tube Care</w:t>
            </w:r>
          </w:p>
        </w:tc>
        <w:tc>
          <w:tcPr>
            <w:tcW w:type="dxa" w:w="24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GNM / B.Sc Nursing</w:t>
            </w:r>
          </w:p>
        </w:tc>
        <w:tc>
          <w:tcPr>
            <w:tcW w:type="dxa" w:w="20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₹500–700 / visit</w:t>
            </w:r>
          </w:p>
        </w:tc>
        <w:tc>
          <w:tcPr>
            <w:tcW w:type="dxa" w:w="21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₹550–800 / visit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Diabetic / Chronic Disease Monitoring Visit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GNM / B.Sc Nursing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₹450–650 / visit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₹500–750 / visit</w:t>
            </w:r>
          </w:p>
        </w:tc>
      </w:tr>
      <w:tr>
        <w:tc>
          <w:tcPr>
            <w:tcW w:type="dxa" w:w="33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Maternal &amp; Newborn Care (skilled)</w:t>
            </w:r>
          </w:p>
        </w:tc>
        <w:tc>
          <w:tcPr>
            <w:tcW w:type="dxa" w:w="24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ANM / GNM (Midwifery)</w:t>
            </w:r>
          </w:p>
        </w:tc>
        <w:tc>
          <w:tcPr>
            <w:tcW w:type="dxa" w:w="20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₹600–900 / visit</w:t>
            </w:r>
          </w:p>
        </w:tc>
        <w:tc>
          <w:tcPr>
            <w:tcW w:type="dxa" w:w="21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₹700–1,000 / visit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Physiotherapy — General Rehabilitation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BPT Physiotherapist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₹700–1,000 / session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₹800–1,500 / session</w:t>
            </w:r>
          </w:p>
        </w:tc>
      </w:tr>
      <w:tr>
        <w:tc>
          <w:tcPr>
            <w:tcW w:type="dxa" w:w="33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Physiotherapy — Neuro / Post-Stroke Rehab</w:t>
            </w:r>
          </w:p>
        </w:tc>
        <w:tc>
          <w:tcPr>
            <w:tcW w:type="dxa" w:w="24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BPT + Neuro Certification</w:t>
            </w:r>
          </w:p>
        </w:tc>
        <w:tc>
          <w:tcPr>
            <w:tcW w:type="dxa" w:w="20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₹1,000–1,500 / session</w:t>
            </w:r>
          </w:p>
        </w:tc>
        <w:tc>
          <w:tcPr>
            <w:tcW w:type="dxa" w:w="21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₹1,200–2,000 / session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Palliative / Terminal Care Nursing (12-hr shift)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GNM / B.Sc + Palliative Training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₹1,500–2,200 / shift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₹1,800–2,500 / shift</w:t>
            </w:r>
          </w:p>
        </w:tc>
      </w:tr>
      <w:tr>
        <w:tc>
          <w:tcPr>
            <w:tcW w:type="dxa" w:w="33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ICU / Critical Care / Ventilator Nursing (12-hr shift)</w:t>
            </w:r>
          </w:p>
        </w:tc>
        <w:tc>
          <w:tcPr>
            <w:tcW w:type="dxa" w:w="24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Critical Care Certified GNM/B.Sc</w:t>
            </w:r>
          </w:p>
        </w:tc>
        <w:tc>
          <w:tcPr>
            <w:tcW w:type="dxa" w:w="20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₹1,800–2,500 / shift</w:t>
            </w:r>
          </w:p>
        </w:tc>
        <w:tc>
          <w:tcPr>
            <w:tcW w:type="dxa" w:w="21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₹2,000–3,000+ / shift</w:t>
            </w:r>
          </w:p>
        </w:tc>
      </w:tr>
    </w:tbl>
    <w:p>
      <w:pPr>
        <w:pStyle w:val="Heading1"/>
        <w:pBdr>
          <w:bottom w:val="single" w:color="146C43" w:sz="8" w:space="4"/>
        </w:pBdr>
        <w:spacing w:after="200" w:before="400"/>
      </w:pPr>
      <w:r>
        <w:rPr>
          <w:b/>
          <w:bCs/>
          <w:color w:val="146C43"/>
          <w:sz w:val="30"/>
          <w:szCs w:val="30"/>
        </w:rPr>
        <w:t xml:space="preserve">Category B — Normal / Non-Skilled Support Services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400"/>
        <w:gridCol w:w="2000"/>
        <w:gridCol w:w="2100"/>
      </w:tblGrid>
      <w:tr>
        <w:trPr>
          <w:tblHeader/>
        </w:trPr>
        <w:tc>
          <w:tcPr>
            <w:tcW w:type="dxa" w:w="3300"/>
            <w:shd w:fill="146C4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400"/>
            <w:shd w:fill="146C4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Who Provides It</w:t>
            </w:r>
          </w:p>
        </w:tc>
        <w:tc>
          <w:tcPr>
            <w:tcW w:type="dxa" w:w="2000"/>
            <w:shd w:fill="146C4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Allcuro Price</w:t>
            </w:r>
          </w:p>
        </w:tc>
        <w:tc>
          <w:tcPr>
            <w:tcW w:type="dxa" w:w="2100"/>
            <w:shd w:fill="146C4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Market Range (Delhi-NCR)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Elderly Attendant — 12-Hour Day Shift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GDA / Trained Caregiver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₹900–1,400 / shift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₹1,200–1,800 / shift</w:t>
            </w:r>
          </w:p>
        </w:tc>
      </w:tr>
      <w:tr>
        <w:tc>
          <w:tcPr>
            <w:tcW w:type="dxa" w:w="33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Elderly Attendant — 24-Hour Shift</w:t>
            </w:r>
          </w:p>
        </w:tc>
        <w:tc>
          <w:tcPr>
            <w:tcW w:type="dxa" w:w="24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GDA / Trained Caregiver</w:t>
            </w:r>
          </w:p>
        </w:tc>
        <w:tc>
          <w:tcPr>
            <w:tcW w:type="dxa" w:w="20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₹1,800–2,800 / shift</w:t>
            </w:r>
          </w:p>
        </w:tc>
        <w:tc>
          <w:tcPr>
            <w:tcW w:type="dxa" w:w="21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₹2,200–3,500 / shift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Patient Attendant — Hourly (hospital or home)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GDA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₹120–180 / hour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₹150–300 / hour</w:t>
            </w:r>
          </w:p>
        </w:tc>
      </w:tr>
      <w:tr>
        <w:tc>
          <w:tcPr>
            <w:tcW w:type="dxa" w:w="33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Mobility, Bathing &amp; Hygiene Assistance</w:t>
            </w:r>
          </w:p>
        </w:tc>
        <w:tc>
          <w:tcPr>
            <w:tcW w:type="dxa" w:w="24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GDA</w:t>
            </w:r>
          </w:p>
        </w:tc>
        <w:tc>
          <w:tcPr>
            <w:tcW w:type="dxa" w:w="20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Bundled in attendant shift</w:t>
            </w:r>
          </w:p>
        </w:tc>
        <w:tc>
          <w:tcPr>
            <w:tcW w:type="dxa" w:w="21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Bundled in attendant shift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Feeding Assistance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GDA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Bundled in attendant shift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Bundled in attendant shift</w:t>
            </w:r>
          </w:p>
        </w:tc>
      </w:tr>
      <w:tr>
        <w:tc>
          <w:tcPr>
            <w:tcW w:type="dxa" w:w="33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Companionship / Elderly Sitting Service (day)</w:t>
            </w:r>
          </w:p>
        </w:tc>
        <w:tc>
          <w:tcPr>
            <w:tcW w:type="dxa" w:w="24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Trained Caregiver</w:t>
            </w:r>
          </w:p>
        </w:tc>
        <w:tc>
          <w:tcPr>
            <w:tcW w:type="dxa" w:w="20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₹700–1,000 / shift</w:t>
            </w:r>
          </w:p>
        </w:tc>
        <w:tc>
          <w:tcPr>
            <w:tcW w:type="dxa" w:w="21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₹900–1,400 / shift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Baby Care / Newborn Nanny (non-medical)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Trained Ayah / Nanny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₹1,000–1,500 / shift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₹1,200–2,000 / shift</w:t>
            </w:r>
          </w:p>
        </w:tc>
      </w:tr>
      <w:tr>
        <w:tc>
          <w:tcPr>
            <w:tcW w:type="dxa" w:w="33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Medication Reminders &amp; Escort to Appointments</w:t>
            </w:r>
          </w:p>
        </w:tc>
        <w:tc>
          <w:tcPr>
            <w:tcW w:type="dxa" w:w="24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GDA</w:t>
            </w:r>
          </w:p>
        </w:tc>
        <w:tc>
          <w:tcPr>
            <w:tcW w:type="dxa" w:w="20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₹800–1,200 / shift</w:t>
            </w:r>
          </w:p>
        </w:tc>
        <w:tc>
          <w:tcPr>
            <w:tcW w:type="dxa" w:w="21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₹1,000–1,500 / shift</w:t>
            </w:r>
          </w:p>
        </w:tc>
      </w:tr>
    </w:tbl>
    <w:p>
      <w:pPr>
        <w:pStyle w:val="Heading1"/>
        <w:pBdr>
          <w:bottom w:val="single" w:color="146C43" w:sz="8" w:space="4"/>
        </w:pBdr>
        <w:spacing w:after="200" w:before="400"/>
      </w:pPr>
      <w:r>
        <w:rPr>
          <w:b/>
          <w:bCs/>
          <w:color w:val="146C43"/>
          <w:sz w:val="30"/>
          <w:szCs w:val="30"/>
        </w:rPr>
        <w:t xml:space="preserve">Category C — Specialized Add-On Services (Partner-Sourced)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400"/>
        <w:gridCol w:w="2000"/>
        <w:gridCol w:w="2100"/>
      </w:tblGrid>
      <w:tr>
        <w:trPr>
          <w:tblHeader/>
        </w:trPr>
        <w:tc>
          <w:tcPr>
            <w:tcW w:type="dxa" w:w="3300"/>
            <w:shd w:fill="146C4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400"/>
            <w:shd w:fill="146C4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Who Provides It</w:t>
            </w:r>
          </w:p>
        </w:tc>
        <w:tc>
          <w:tcPr>
            <w:tcW w:type="dxa" w:w="2000"/>
            <w:shd w:fill="146C4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Allcuro Price</w:t>
            </w:r>
          </w:p>
        </w:tc>
        <w:tc>
          <w:tcPr>
            <w:tcW w:type="dxa" w:w="2100"/>
            <w:shd w:fill="146C43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Market Range (Delhi-NCR)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Doctor Home Visit / Teleconsult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Empanelled GP / Specialist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₹700–1,000 / visit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₹800–1,500 / visit</w:t>
            </w:r>
          </w:p>
        </w:tc>
      </w:tr>
      <w:tr>
        <w:tc>
          <w:tcPr>
            <w:tcW w:type="dxa" w:w="33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Lab Sample Collection at Home</w:t>
            </w:r>
          </w:p>
        </w:tc>
        <w:tc>
          <w:tcPr>
            <w:tcW w:type="dxa" w:w="24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Diagnostic Lab Partner</w:t>
            </w:r>
          </w:p>
        </w:tc>
        <w:tc>
          <w:tcPr>
            <w:tcW w:type="dxa" w:w="20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₹100–200 / collection</w:t>
            </w:r>
          </w:p>
        </w:tc>
        <w:tc>
          <w:tcPr>
            <w:tcW w:type="dxa" w:w="2100"/>
            <w:shd w:fill="E8F3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₹150–300 / collection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Medical Equipment Rental (bed, oxygen concentrator, wheelchair)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Equipment Rental Partner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Market-linked monthly rate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Market-linked monthly rate</w:t>
            </w:r>
          </w:p>
        </w:tc>
      </w:tr>
    </w:tbl>
    <w:p>
      <w:pPr>
        <w:pStyle w:val="Heading1"/>
        <w:pBdr>
          <w:bottom w:val="single" w:color="146C43" w:sz="8" w:space="4"/>
        </w:pBdr>
        <w:spacing w:after="200" w:before="400"/>
      </w:pPr>
      <w:r>
        <w:rPr>
          <w:b/>
          <w:bCs/>
          <w:color w:val="146C43"/>
          <w:sz w:val="30"/>
          <w:szCs w:val="30"/>
        </w:rPr>
        <w:t xml:space="preserve">Pricing Strategy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Position Allcuro 10–15% below the market range across Categories A and B during the pilot — enough to win trust without signalling “cheap/unverified.”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Category C add-ons can be priced at par with partners since Allcuro is not bearing the clinical/staffing risk on these.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Revisit pricing after the pilot once nurse utilization and repeat-booking data are in from the 6 pilot pincodes.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Keep South Delhi and Gurgaon pincodes on the higher end of each Allcuro range — both localities carry a 15–25% cost premium in the broader market too, so this stays consistent with customer expectations.</w:t>
      </w:r>
    </w:p>
    <w:sectPr>
      <w:headerReference w:type="default" r:id="rId7"/>
      <w:footerReference w:type="default" r:id="rId8"/>
      <w:pgSz w:w="12240" w:h="15840" w:orient="portrait"/>
      <w:pgMar w:top="1350" w:right="1200" w:bottom="135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595959"/>
        <w:sz w:val="16"/>
        <w:szCs w:val="16"/>
      </w:rPr>
      <w:t xml:space="preserve">Allcuro — Service Catalog &amp; Pricing Benchmark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2026-09-05T06:38:26.029Z</dcterms:created>
  <dcterms:modified xsi:type="dcterms:W3CDTF">2026-09-05T06:38:26.030Z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