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Times New Roman" w:hAnsi="Times New Roman"/>
          <w:b/>
          <w:i w:val="0"/>
          <w:sz w:val="24"/>
        </w:rPr>
        <w:t>A validated transcriptomic signature of malignant progression in oral leukoplakia and proliferative verrucous leukoplakia: independent replication, single-cell mapping, and in silico drug repositioning</w:t>
      </w:r>
    </w:p>
    <w:p>
      <w:pPr>
        <w:pStyle w:val="Heading1"/>
      </w:pPr>
      <w:r>
        <w:rPr>
          <w:rFonts w:ascii="Times New Roman" w:hAnsi="Times New Roman"/>
          <w:b/>
          <w:i w:val="0"/>
          <w:sz w:val="24"/>
        </w:rPr>
        <w:t>Abstract</w:t>
      </w:r>
    </w:p>
    <w:p>
      <w:r>
        <w:rPr>
          <w:rFonts w:ascii="Times New Roman" w:hAnsi="Times New Roman"/>
          <w:b/>
          <w:i w:val="0"/>
          <w:sz w:val="24"/>
        </w:rPr>
        <w:t>Objective.</w:t>
      </w:r>
      <w:r>
        <w:rPr>
          <w:rFonts w:ascii="Times New Roman" w:hAnsi="Times New Roman"/>
          <w:b w:val="0"/>
          <w:i w:val="0"/>
          <w:sz w:val="24"/>
        </w:rPr>
        <w:t xml:space="preserve"> Oral leukoplakia (OL) and proliferative verrucous leukoplakia (PVL) carry unpredictable malignant-transformation risk. We derived and independently validated a transcriptomic progression signature across microarray, RNA-seq, and single-cell data, then prioritised repositionable chemopreventive drugs.</w:t>
      </w:r>
    </w:p>
    <w:p>
      <w:r>
        <w:rPr>
          <w:rFonts w:ascii="Times New Roman" w:hAnsi="Times New Roman"/>
          <w:b/>
          <w:i w:val="0"/>
          <w:sz w:val="24"/>
        </w:rPr>
        <w:t>Materials and Methods.</w:t>
      </w:r>
      <w:r>
        <w:rPr>
          <w:rFonts w:ascii="Times New Roman" w:hAnsi="Times New Roman"/>
          <w:b w:val="0"/>
          <w:i w:val="0"/>
          <w:sz w:val="24"/>
        </w:rPr>
        <w:t xml:space="preserve"> A 101-gene signature was derived from GSE26549 (Affymetrix; 86 OL; limma, adjusted P &lt; 0.05, |logFC| &gt; 0.5) and validated on GSE227919 (RNA-seq; 66 samples) with a direction-weighted, within-cohort z-score blind to outcome labels. Single-cell mapping used GSE196296 (~28,000 cells; Seurat v5) with effect sizes as the primary metric. Candidate drugs were identified by two-direction reversal against Enrichr LINCS L1000 libraries.</w:t>
      </w:r>
    </w:p>
    <w:p>
      <w:r>
        <w:rPr>
          <w:rFonts w:ascii="Times New Roman" w:hAnsi="Times New Roman"/>
          <w:b/>
          <w:i w:val="0"/>
          <w:sz w:val="24"/>
        </w:rPr>
        <w:t>Results.</w:t>
      </w:r>
      <w:r>
        <w:rPr>
          <w:rFonts w:ascii="Times New Roman" w:hAnsi="Times New Roman"/>
          <w:b w:val="0"/>
          <w:i w:val="0"/>
          <w:sz w:val="24"/>
        </w:rPr>
        <w:t xml:space="preserve"> The signature tracked the GSE227919 severity axis (Spearman ρ = 0.473, P = 5.99 × 10⁻⁵; ρ = 0.356, P = 0.007 after excluding cancer). At single-cell resolution it showed no lesion-level gradient (η² = 0.006) but concentrated in five cell states (Cliff's δ = 0.43–0.89). In a second independent Agilent cohort (GSE85195; 15 leukoplakia, 34 OSCC) the same score discriminated pre-malignant from malignant tissue (AUC 0.949, 95% CI 0.891–1.0; ordinal ρ = 0.717). Eight compounds reversed the signature; PI3K/mTOR inhibitors were prioritised by clinical precedent.</w:t>
      </w:r>
    </w:p>
    <w:p>
      <w:r>
        <w:rPr>
          <w:rFonts w:ascii="Times New Roman" w:hAnsi="Times New Roman"/>
          <w:b/>
          <w:i w:val="0"/>
          <w:sz w:val="24"/>
        </w:rPr>
        <w:t>Conclusions.</w:t>
      </w:r>
      <w:r>
        <w:rPr>
          <w:rFonts w:ascii="Times New Roman" w:hAnsi="Times New Roman"/>
          <w:b w:val="0"/>
          <w:i w:val="0"/>
          <w:sz w:val="24"/>
        </w:rPr>
        <w:t xml:space="preserve"> The progression signature is independently validated across RNA-seq and microarray platforms, localised to specific epithelial and immune cell states, and yields eight repositionable chemoprevention candidates, with PI3K/mTOR inhibition the most clinically supported.</w:t>
      </w:r>
    </w:p>
    <w:p>
      <w:r>
        <w:rPr>
          <w:rFonts w:ascii="Times New Roman" w:hAnsi="Times New Roman"/>
          <w:b/>
          <w:i w:val="0"/>
          <w:sz w:val="24"/>
        </w:rPr>
        <w:t>Keywords:</w:t>
      </w:r>
      <w:r>
        <w:rPr>
          <w:rFonts w:ascii="Times New Roman" w:hAnsi="Times New Roman"/>
          <w:b w:val="0"/>
          <w:i w:val="0"/>
          <w:sz w:val="24"/>
        </w:rPr>
        <w:t xml:space="preserve"> oral leukoplakia; proliferative verrucous leukoplakia; transcriptomic signature; malignant transformation; single-cell RNA-seq; LINCS; drug repurposing; biomarker; chemoprevention</w:t>
      </w:r>
    </w:p>
    <w:p>
      <w:pPr>
        <w:pStyle w:val="Heading1"/>
      </w:pPr>
      <w:r>
        <w:rPr>
          <w:rFonts w:ascii="Times New Roman" w:hAnsi="Times New Roman"/>
          <w:b/>
          <w:i w:val="0"/>
          <w:sz w:val="24"/>
        </w:rPr>
        <w:t>Conflict of Interest</w:t>
      </w:r>
    </w:p>
    <w:p>
      <w:r>
        <w:rPr>
          <w:rFonts w:ascii="Times New Roman" w:hAnsi="Times New Roman"/>
          <w:b w:val="0"/>
          <w:i w:val="0"/>
          <w:sz w:val="24"/>
        </w:rPr>
        <w:t>The authors declare no competing interests.</w:t>
      </w:r>
    </w:p>
    <w:p>
      <w:pPr>
        <w:pStyle w:val="Heading1"/>
      </w:pPr>
      <w:r>
        <w:rPr>
          <w:rFonts w:ascii="Times New Roman" w:hAnsi="Times New Roman"/>
          <w:b/>
          <w:i w:val="0"/>
          <w:sz w:val="24"/>
        </w:rPr>
        <w:t>1. Introduction</w:t>
      </w:r>
    </w:p>
    <w:p>
      <w:pPr>
        <w:pStyle w:val="Heading2"/>
      </w:pPr>
      <w:r>
        <w:rPr>
          <w:rFonts w:ascii="Times New Roman" w:hAnsi="Times New Roman"/>
          <w:b/>
          <w:i/>
          <w:sz w:val="24"/>
        </w:rPr>
        <w:t>1.1 Oral potentially malignant disorders and the transformation problem</w:t>
      </w:r>
    </w:p>
    <w:p>
      <w:r>
        <w:rPr>
          <w:rFonts w:ascii="Times New Roman" w:hAnsi="Times New Roman"/>
          <w:b w:val="0"/>
          <w:i w:val="0"/>
          <w:sz w:val="24"/>
        </w:rPr>
        <w:t>Oral leukoplakia (OL) and its aggressive variant proliferative verrucous leukoplakia (PVL) are oral potentially malignant disorders in which a portion of lesions progress to oral squamous cell carcinoma (OSCC) over years to decades. Reported cumulative malignant transformation rates span 0.13%–34% across cohorts and follow-up lengths [20,21], so the central clinical challenge is identifying which lesions will transform. Current histopathologic grading of epithelial dysplasia is subjective and only weakly predictive, and surgical resection of OL has not been shown to reduce OSCC incidence. Molecular biomarkers, notably loss of heterozygosity (LOH) at 3p/9p and TP53 alteration, are the most robust traditional risk markers [22], yet they leave substantial uncertainty for individualised prevention.</w:t>
      </w:r>
    </w:p>
    <w:p>
      <w:pPr>
        <w:pStyle w:val="Heading2"/>
      </w:pPr>
      <w:r>
        <w:rPr>
          <w:rFonts w:ascii="Times New Roman" w:hAnsi="Times New Roman"/>
          <w:b/>
          <w:i/>
          <w:sz w:val="24"/>
        </w:rPr>
        <w:t>1.2 Prior transcriptomic signatures and their limits</w:t>
      </w:r>
    </w:p>
    <w:p>
      <w:r>
        <w:rPr>
          <w:rFonts w:ascii="Times New Roman" w:hAnsi="Times New Roman"/>
          <w:b w:val="0"/>
          <w:i w:val="0"/>
          <w:sz w:val="24"/>
        </w:rPr>
        <w:t>Gene-expression profiling has repeatedly been proposed to improve risk stratification. Saintigny et al. [1] derived a 29-transcript predictive model from the GSE26549 microarray cohort that anticipated oral cancer development with approximately 8% prediction error, and separately identified 2,182 progression-associated transcripts by univariate Cox modelling. More recently, Foy et al. [2] used the same GSE26549 discovery set to describe two OPL gene-expression subtypes, immunological and classical, validated across three small independent datasets, with divergent immune infiltration and LOH associations. These efforts established that OL/PVL harbour reproducible transcriptomic structure, but two gaps remain. First, the discovery and the best-known validation both lean on microarray cohorts of modest size; independent confirmation on a modern RNA-seq platform with a graded severity axis is still lacking. Second, the biological and cellular meaning of a progression signature, and its tractability as a prevention target, are incompletely resolved.</w:t>
      </w:r>
    </w:p>
    <w:p>
      <w:pPr>
        <w:pStyle w:val="Heading2"/>
      </w:pPr>
      <w:r>
        <w:rPr>
          <w:rFonts w:ascii="Times New Roman" w:hAnsi="Times New Roman"/>
          <w:b/>
          <w:i/>
          <w:sz w:val="24"/>
        </w:rPr>
        <w:t>1.3 Aims and research questions</w:t>
      </w:r>
    </w:p>
    <w:p>
      <w:r>
        <w:rPr>
          <w:rFonts w:ascii="Times New Roman" w:hAnsi="Times New Roman"/>
          <w:b w:val="0"/>
          <w:i w:val="0"/>
          <w:sz w:val="24"/>
        </w:rPr>
        <w:t>We reasoned that a progression signature should be re-derived from the same discovery cohort, then validated on an independent RNA-seq cohort using a scoring scheme that is intrinsically platform-agnostic, mapped onto the cellular architecture of a single PVL lesion traversed by a pathological continuum, and finally translated into candidate prevention drugs. The study addresses three questions:</w:t>
      </w:r>
    </w:p>
    <w:p>
      <w:r>
        <w:rPr>
          <w:rFonts w:ascii="Times New Roman" w:hAnsi="Times New Roman"/>
          <w:b w:val="0"/>
          <w:i w:val="0"/>
          <w:sz w:val="24"/>
        </w:rPr>
        <w:t xml:space="preserve">1. </w:t>
      </w:r>
      <w:r>
        <w:rPr>
          <w:rFonts w:ascii="Times New Roman" w:hAnsi="Times New Roman"/>
          <w:b/>
          <w:i w:val="0"/>
          <w:sz w:val="24"/>
        </w:rPr>
        <w:t>RQ1 (external validity).</w:t>
      </w:r>
      <w:r>
        <w:rPr>
          <w:rFonts w:ascii="Times New Roman" w:hAnsi="Times New Roman"/>
          <w:b w:val="0"/>
          <w:i w:val="0"/>
          <w:sz w:val="24"/>
        </w:rPr>
        <w:t xml:space="preserve"> Does a GSE26549-derived progression signature generalise to an independent RNA-seq cohort as a graded severity signal?</w:t>
      </w:r>
    </w:p>
    <w:p>
      <w:r>
        <w:rPr>
          <w:rFonts w:ascii="Times New Roman" w:hAnsi="Times New Roman"/>
          <w:b w:val="0"/>
          <w:i w:val="0"/>
          <w:sz w:val="24"/>
        </w:rPr>
        <w:t xml:space="preserve">2. </w:t>
      </w:r>
      <w:r>
        <w:rPr>
          <w:rFonts w:ascii="Times New Roman" w:hAnsi="Times New Roman"/>
          <w:b/>
          <w:i w:val="0"/>
          <w:sz w:val="24"/>
        </w:rPr>
        <w:t>RQ2 (cellular localisation).</w:t>
      </w:r>
      <w:r>
        <w:rPr>
          <w:rFonts w:ascii="Times New Roman" w:hAnsi="Times New Roman"/>
          <w:b w:val="0"/>
          <w:i w:val="0"/>
          <w:sz w:val="24"/>
        </w:rPr>
        <w:t xml:space="preserve"> At single-cell resolution, which cell states carry the progression signature within a PVL lesion?</w:t>
      </w:r>
    </w:p>
    <w:p>
      <w:r>
        <w:rPr>
          <w:rFonts w:ascii="Times New Roman" w:hAnsi="Times New Roman"/>
          <w:b w:val="0"/>
          <w:i w:val="0"/>
          <w:sz w:val="24"/>
        </w:rPr>
        <w:t xml:space="preserve">3. </w:t>
      </w:r>
      <w:r>
        <w:rPr>
          <w:rFonts w:ascii="Times New Roman" w:hAnsi="Times New Roman"/>
          <w:b/>
          <w:i w:val="0"/>
          <w:sz w:val="24"/>
        </w:rPr>
        <w:t>RQ3 (translatability).</w:t>
      </w:r>
      <w:r>
        <w:rPr>
          <w:rFonts w:ascii="Times New Roman" w:hAnsi="Times New Roman"/>
          <w:b w:val="0"/>
          <w:i w:val="0"/>
          <w:sz w:val="24"/>
        </w:rPr>
        <w:t xml:space="preserve"> Which approved or investigational compounds reverse the progression signature and therefore merit chemoprevention evaluation?</w:t>
      </w:r>
    </w:p>
    <w:p>
      <w:r>
        <w:rPr>
          <w:rFonts w:ascii="Times New Roman" w:hAnsi="Times New Roman"/>
          <w:b w:val="0"/>
          <w:i w:val="0"/>
          <w:sz w:val="24"/>
        </w:rPr>
        <w:t>This study is a re-analysis of public datasets; it derives no new measurements. Its contribution is the integration of cross-platform validation, single-cell localisation, and direction-aware in silico repositioning around one signature, together with explicit reporting of the optimism and limitations of each step.</w:t>
      </w:r>
    </w:p>
    <w:p>
      <w:pPr>
        <w:pStyle w:val="Heading1"/>
      </w:pPr>
      <w:r>
        <w:rPr>
          <w:rFonts w:ascii="Times New Roman" w:hAnsi="Times New Roman"/>
          <w:b/>
          <w:i w:val="0"/>
          <w:sz w:val="24"/>
        </w:rPr>
        <w:t>2. Materials and Methods</w:t>
      </w:r>
    </w:p>
    <w:p>
      <w:pPr>
        <w:pStyle w:val="Heading2"/>
      </w:pPr>
      <w:r>
        <w:rPr>
          <w:rFonts w:ascii="Times New Roman" w:hAnsi="Times New Roman"/>
          <w:b/>
          <w:i/>
          <w:sz w:val="24"/>
        </w:rPr>
        <w:t>2.1 Data sources</w:t>
      </w:r>
    </w:p>
    <w:p>
      <w:r>
        <w:rPr>
          <w:rFonts w:ascii="Times New Roman" w:hAnsi="Times New Roman"/>
          <w:b w:val="0"/>
          <w:i w:val="0"/>
          <w:sz w:val="24"/>
        </w:rPr>
        <w:t xml:space="preserve">Three public Gene Expression Omnibus (GEO) datasets were used. </w:t>
      </w:r>
      <w:r>
        <w:rPr>
          <w:rFonts w:ascii="Times New Roman" w:hAnsi="Times New Roman"/>
          <w:b/>
          <w:i w:val="0"/>
          <w:sz w:val="24"/>
        </w:rPr>
        <w:t>GSE26549</w:t>
      </w:r>
      <w:r>
        <w:rPr>
          <w:rFonts w:ascii="Times New Roman" w:hAnsi="Times New Roman"/>
          <w:b w:val="0"/>
          <w:i w:val="0"/>
          <w:sz w:val="24"/>
        </w:rPr>
        <w:t xml:space="preserve"> (Affymetrix Human Gene 1.0 ST, GPL6244) comprises 86 OL with progression outcome metadata (35 cancer development, 51 no cancer); baseline biopsy subsets (62 cases; 21 progressing, 41 non-progressing) were used for signature derivation. </w:t>
      </w:r>
      <w:r>
        <w:rPr>
          <w:rFonts w:ascii="Times New Roman" w:hAnsi="Times New Roman"/>
          <w:b/>
          <w:i w:val="0"/>
          <w:sz w:val="24"/>
        </w:rPr>
        <w:t>GSE227919</w:t>
      </w:r>
      <w:r>
        <w:rPr>
          <w:rFonts w:ascii="Times New Roman" w:hAnsi="Times New Roman"/>
          <w:b w:val="0"/>
          <w:i w:val="0"/>
          <w:sz w:val="24"/>
        </w:rPr>
        <w:t xml:space="preserve"> (RNA-seq, GPL18573) comprises 66 samples across an ordinal severity axis: Control (n = 18), hyperplasia with no reported risk (HkNR, n = 17), dysplasia (n = 22), and cancer (n = 9); expression values are raw TPM-scale counts (non-logged). Progression-status annotations are available for 27 of the 66 samples (17 stable, 5 progression-to-dysplasia, 5 progression-to-OSCC) and were used for a low-power subset analysis (Section 3.2). </w:t>
      </w:r>
      <w:r>
        <w:rPr>
          <w:rFonts w:ascii="Times New Roman" w:hAnsi="Times New Roman"/>
          <w:b/>
          <w:i w:val="0"/>
          <w:sz w:val="24"/>
        </w:rPr>
        <w:t>GSE196296</w:t>
      </w:r>
      <w:r>
        <w:rPr>
          <w:rFonts w:ascii="Times New Roman" w:hAnsi="Times New Roman"/>
          <w:b w:val="0"/>
          <w:i w:val="0"/>
          <w:sz w:val="24"/>
        </w:rPr>
        <w:t xml:space="preserve"> provides single-cell RNA-seq (10x Genomics) of three tissue blocks sampled along one PVL lesion (annotated KUS, corrugated, and bulky hyperkeratosis), totalling approximately 28,000 cells. </w:t>
      </w:r>
      <w:r>
        <w:rPr>
          <w:rFonts w:ascii="Times New Roman" w:hAnsi="Times New Roman"/>
          <w:b/>
          <w:i w:val="0"/>
          <w:sz w:val="24"/>
        </w:rPr>
        <w:t>GSE85195</w:t>
      </w:r>
      <w:r>
        <w:rPr>
          <w:rFonts w:ascii="Times New Roman" w:hAnsi="Times New Roman"/>
          <w:b w:val="0"/>
          <w:i w:val="0"/>
          <w:sz w:val="24"/>
        </w:rPr>
        <w:t xml:space="preserve"> (Agilent Whole Human Genome Microarray 4×44K, GPL6480) comprises 50 samples from the gingivobuccal complex: 15 oral leukoplakia (OPL), 34 early-stage OSCC, and 1 normal control [23]. All data were downloaded from GEO; dataset accessions and processing dates are listed in the Data Availability Statement.</w:t>
      </w:r>
    </w:p>
    <w:p>
      <w:pPr>
        <w:pStyle w:val="Heading2"/>
      </w:pPr>
      <w:r>
        <w:rPr>
          <w:rFonts w:ascii="Times New Roman" w:hAnsi="Times New Roman"/>
          <w:b/>
          <w:i/>
          <w:sz w:val="24"/>
        </w:rPr>
        <w:t>2.2 Signature derivation</w:t>
      </w:r>
    </w:p>
    <w:p>
      <w:r>
        <w:rPr>
          <w:rFonts w:ascii="Times New Roman" w:hAnsi="Times New Roman"/>
          <w:b w:val="0"/>
          <w:i w:val="0"/>
          <w:sz w:val="24"/>
        </w:rPr>
        <w:t xml:space="preserve">For GSE26549, probe-level summarisation was mapped to gene symbols using the platform annotation; genes were taken as the unit of analysis. Differential expression between progressing and non-progressing baseline biopsies was computed with limma (empirical Bayes moderated t-test). A progression signature was defined as genes with adj. </w:t>
      </w:r>
      <w:r>
        <w:rPr>
          <w:rFonts w:ascii="Times New Roman" w:hAnsi="Times New Roman"/>
          <w:b w:val="0"/>
          <w:i/>
          <w:sz w:val="24"/>
        </w:rPr>
        <w:t>P</w:t>
      </w:r>
      <w:r>
        <w:rPr>
          <w:rFonts w:ascii="Times New Roman" w:hAnsi="Times New Roman"/>
          <w:b w:val="0"/>
          <w:i w:val="0"/>
          <w:sz w:val="24"/>
        </w:rPr>
        <w:t xml:space="preserve"> &lt; 0.05 and |logFC| &gt; 0.5, yielding 101 genes. We deliberately adopted a permissive threshold to retain biological signal for signature scoring, accepting that the set is discovery-oriented rather than a parsimonious classifier.</w:t>
      </w:r>
    </w:p>
    <w:p>
      <w:pPr>
        <w:pStyle w:val="Heading2"/>
      </w:pPr>
      <w:r>
        <w:rPr>
          <w:rFonts w:ascii="Times New Roman" w:hAnsi="Times New Roman"/>
          <w:b/>
          <w:i/>
          <w:sz w:val="24"/>
        </w:rPr>
        <w:t>2.3 Cross-platform validation: direction-weighted z-score score</w:t>
      </w:r>
    </w:p>
    <w:p>
      <w:r>
        <w:rPr>
          <w:rFonts w:ascii="Times New Roman" w:hAnsi="Times New Roman"/>
          <w:b w:val="0"/>
          <w:i w:val="0"/>
          <w:sz w:val="24"/>
        </w:rPr>
        <w:t xml:space="preserve">To validate the signature on RNA-seq without transferring raw coefficients across platforms (which fails under distribution shift), we used a direction-weighted, within-cohort standardised score. For each validation cohort, every signature gene was z-scored within that cohort (mean 0, SD 1). The score for sample </w:t>
      </w:r>
      <w:r>
        <w:rPr>
          <w:rFonts w:ascii="Times New Roman" w:hAnsi="Times New Roman"/>
          <w:b w:val="0"/>
          <w:i/>
          <w:sz w:val="24"/>
        </w:rPr>
        <w:t>i</w:t>
      </w:r>
      <w:r>
        <w:rPr>
          <w:rFonts w:ascii="Times New Roman" w:hAnsi="Times New Roman"/>
          <w:b w:val="0"/>
          <w:i w:val="0"/>
          <w:sz w:val="24"/>
        </w:rPr>
        <w:t xml:space="preserve"> was Σ</w:t>
      </w:r>
      <w:r>
        <w:rPr>
          <w:rFonts w:ascii="Times New Roman" w:hAnsi="Times New Roman"/>
          <w:b w:val="0"/>
          <w:i w:val="0"/>
          <w:sz w:val="24"/>
          <w:vertAlign w:val="subscript"/>
        </w:rPr>
        <w:t>g</w:t>
      </w:r>
      <w:r>
        <w:rPr>
          <w:rFonts w:ascii="Times New Roman" w:hAnsi="Times New Roman"/>
          <w:b w:val="0"/>
          <w:i w:val="0"/>
          <w:sz w:val="24"/>
        </w:rPr>
        <w:t xml:space="preserve"> w</w:t>
      </w:r>
      <w:r>
        <w:rPr>
          <w:rFonts w:ascii="Times New Roman" w:hAnsi="Times New Roman"/>
          <w:b w:val="0"/>
          <w:i w:val="0"/>
          <w:sz w:val="24"/>
          <w:vertAlign w:val="subscript"/>
        </w:rPr>
        <w:t>g</w:t>
      </w:r>
      <w:r>
        <w:rPr>
          <w:rFonts w:ascii="Times New Roman" w:hAnsi="Times New Roman"/>
          <w:b w:val="0"/>
          <w:i w:val="0"/>
          <w:sz w:val="24"/>
        </w:rPr>
        <w:t xml:space="preserve"> · z</w:t>
      </w:r>
      <w:r>
        <w:rPr>
          <w:rFonts w:ascii="Times New Roman" w:hAnsi="Times New Roman"/>
          <w:b w:val="0"/>
          <w:i w:val="0"/>
          <w:sz w:val="24"/>
          <w:vertAlign w:val="subscript"/>
        </w:rPr>
        <w:t>ig</w:t>
      </w:r>
      <w:r>
        <w:rPr>
          <w:rFonts w:ascii="Times New Roman" w:hAnsi="Times New Roman"/>
          <w:b w:val="0"/>
          <w:i w:val="0"/>
          <w:sz w:val="24"/>
        </w:rPr>
        <w:t>, where w</w:t>
      </w:r>
      <w:r>
        <w:rPr>
          <w:rFonts w:ascii="Times New Roman" w:hAnsi="Times New Roman"/>
          <w:b w:val="0"/>
          <w:i w:val="0"/>
          <w:sz w:val="24"/>
          <w:vertAlign w:val="subscript"/>
        </w:rPr>
        <w:t>g</w:t>
      </w:r>
      <w:r>
        <w:rPr>
          <w:rFonts w:ascii="Times New Roman" w:hAnsi="Times New Roman"/>
          <w:b w:val="0"/>
          <w:i w:val="0"/>
          <w:sz w:val="24"/>
        </w:rPr>
        <w:t xml:space="preserve"> = sign(logFC</w:t>
      </w:r>
      <w:r>
        <w:rPr>
          <w:rFonts w:ascii="Times New Roman" w:hAnsi="Times New Roman"/>
          <w:b w:val="0"/>
          <w:i w:val="0"/>
          <w:sz w:val="24"/>
          <w:vertAlign w:val="subscript"/>
        </w:rPr>
        <w:t>g</w:t>
      </w:r>
      <w:r>
        <w:rPr>
          <w:rFonts w:ascii="Times New Roman" w:hAnsi="Times New Roman"/>
          <w:b w:val="0"/>
          <w:i w:val="0"/>
          <w:sz w:val="24"/>
        </w:rPr>
        <w:t>) · |logFC</w:t>
      </w:r>
      <w:r>
        <w:rPr>
          <w:rFonts w:ascii="Times New Roman" w:hAnsi="Times New Roman"/>
          <w:b w:val="0"/>
          <w:i w:val="0"/>
          <w:sz w:val="24"/>
          <w:vertAlign w:val="subscript"/>
        </w:rPr>
        <w:t>g</w:t>
      </w:r>
      <w:r>
        <w:rPr>
          <w:rFonts w:ascii="Times New Roman" w:hAnsi="Times New Roman"/>
          <w:b w:val="0"/>
          <w:i w:val="0"/>
          <w:sz w:val="24"/>
        </w:rPr>
        <w:t>| from the discovery cohort, and the score borrows only the direction and relative magnitude of each gene's discovery effect. This construction is blind to GSE227919 phenotype labels. We tested the score against the ordinal severity axis (0 = Control, 1 = HkNR, 2 = dysplasia, 3 = cancer) by Spearman correlation. To exclude the concern that the gradient is driven merely by the presence of cancer-label samples, we additionally computed the correlation after excluding cancer cases (Control/HkNR/dysplasia only). Direction-aware single-sample scoring follows the same family as singscore methods, which are stable across microarray and RNA-seq [11,12]. The identical, label-blind procedure was applied to GSE85195 to test cross-sectional discrimination between oral leukoplakia and OSCC; because that cohort is cross-sectional (prevalent lesions without transformation follow-up), this constitutes a state-discrimination test of the pre-malignant-to-malignant axis, not a prospective prediction of individual transformation.</w:t>
      </w:r>
    </w:p>
    <w:p>
      <w:pPr>
        <w:pStyle w:val="Heading2"/>
      </w:pPr>
      <w:r>
        <w:rPr>
          <w:rFonts w:ascii="Times New Roman" w:hAnsi="Times New Roman"/>
          <w:b/>
          <w:i/>
          <w:sz w:val="24"/>
        </w:rPr>
        <w:t>2.4 LASSO internal validation and its optimism</w:t>
      </w:r>
    </w:p>
    <w:p>
      <w:r>
        <w:rPr>
          <w:rFonts w:ascii="Times New Roman" w:hAnsi="Times New Roman"/>
          <w:b w:val="0"/>
          <w:i w:val="0"/>
          <w:sz w:val="24"/>
        </w:rPr>
        <w:t>A LASSO logistic regression was fit on the discovery cohort using the 101-gene signature to separate progressors from non-progressors, with a five-fold cross-validation whose fold assignments were fixed explicitly (not regenerated internally) so that the procedure is reproducible. We report the cross-validated area under the curve but explicitly label it an optimistic discovery-phase estimate, because feature selection (the 101 genes) and model fitting share the same data. This circularity is the recognised source of inflated internal performance in high-dimensional signatures [13,14]. As a negative control for platform portability, we also transferred the discovery LASSO coefficients directly onto GSE227919 and report that classification, which is expected to fail under platform non-comparability.</w:t>
      </w:r>
    </w:p>
    <w:p>
      <w:pPr>
        <w:pStyle w:val="Heading2"/>
      </w:pPr>
      <w:r>
        <w:rPr>
          <w:rFonts w:ascii="Times New Roman" w:hAnsi="Times New Roman"/>
          <w:b/>
          <w:i/>
          <w:sz w:val="24"/>
        </w:rPr>
        <w:t>2.5 Single-cell analysis and effect-size reporting</w:t>
      </w:r>
    </w:p>
    <w:p>
      <w:r>
        <w:rPr>
          <w:rFonts w:ascii="Times New Roman" w:hAnsi="Times New Roman"/>
          <w:b w:val="0"/>
          <w:i w:val="0"/>
          <w:sz w:val="24"/>
        </w:rPr>
        <w:t>GSE196296 counts were processed with Seurat v5: standard quality control, log-normalisation, variable-feature selection, PCA, graph-based clustering (24 clusters), and uniform manifold approximation projection. Cell-type annotation used canonical marker genes. The progression signature was summarised per cell as a module score. To test whether the signature differed across the three lesion blocks, we used Kruskal–Wallis followed by eta-squared (η²) as the effect-size measure. Because the cohort exceeds 28,000 cells, p-values collapse to trivial significance; we therefore report η² as the primary quantity and interpret η² &lt; 0.01 as below the small-effect threshold (η² ≈ 0.01 small, 0.06 medium, 0.14 large per Cohen, 1988), rather than relying on p-values [17,18].</w:t>
      </w:r>
    </w:p>
    <w:p>
      <w:pPr>
        <w:pStyle w:val="Heading2"/>
      </w:pPr>
      <w:r>
        <w:rPr>
          <w:rFonts w:ascii="Times New Roman" w:hAnsi="Times New Roman"/>
          <w:b/>
          <w:i/>
          <w:sz w:val="24"/>
        </w:rPr>
        <w:t>2.6 In silico drug repositioning</w:t>
      </w:r>
    </w:p>
    <w:p>
      <w:r>
        <w:rPr>
          <w:rFonts w:ascii="Times New Roman" w:hAnsi="Times New Roman"/>
          <w:b w:val="0"/>
          <w:i w:val="0"/>
          <w:sz w:val="24"/>
        </w:rPr>
        <w:t xml:space="preserve">Of the 101 signature genes, 86 mapped to single L1000 gene symbols (26 progression-up and 60 progression-down); 15 genes without a unique L1000 symbol (multi-symbol probe rows, LOC identifiers, lncRNAs, pseudogenes, or obsolete symbols) were excluded before querying. Using Enrichr [16], we queried the LINCS L1000 directional libraries (chemical perturbation up and down) [8,9] for compounds whose transcriptional effect reverses the signature: a reversal candidate must significantly down-regulate progression-UP genes and up-regulate progression-DOWN genes (two-direction intersection, adj. </w:t>
      </w:r>
      <w:r>
        <w:rPr>
          <w:rFonts w:ascii="Times New Roman" w:hAnsi="Times New Roman"/>
          <w:b w:val="0"/>
          <w:i/>
          <w:sz w:val="24"/>
        </w:rPr>
        <w:t>P</w:t>
      </w:r>
      <w:r>
        <w:rPr>
          <w:rFonts w:ascii="Times New Roman" w:hAnsi="Times New Roman"/>
          <w:b w:val="0"/>
          <w:i w:val="0"/>
          <w:sz w:val="24"/>
        </w:rPr>
        <w:t xml:space="preserve"> &lt; 0.05 in both directions). Single-direction queries were retained only as a noise benchmark. Candidates were stratified by target class [10,19], and PI3K/mTOR inhibitors were flagged as priority given an existing clinical precedent in oral premalignant lesions.</w:t>
      </w:r>
    </w:p>
    <w:p>
      <w:pPr>
        <w:pStyle w:val="Heading2"/>
      </w:pPr>
      <w:r>
        <w:rPr>
          <w:rFonts w:ascii="Times New Roman" w:hAnsi="Times New Roman"/>
          <w:b/>
          <w:i/>
          <w:sz w:val="24"/>
        </w:rPr>
        <w:t>2.7 Pathway deconvolution</w:t>
      </w:r>
    </w:p>
    <w:p>
      <w:r>
        <w:rPr>
          <w:rFonts w:ascii="Times New Roman" w:hAnsi="Times New Roman"/>
          <w:b w:val="0"/>
          <w:i w:val="0"/>
          <w:sz w:val="24"/>
        </w:rPr>
        <w:t xml:space="preserve">The 101-gene signature was tested for enrichment against Hallmark, GO, KEGG, ChEA (transcription-factor targets) and ENCODE libraries via Enrichr. Separately, to anchor mechanism in a comparable contrast, we performed pathway enrichment on the bulk GSE227919 cancer-versus-control differential expression (adj. </w:t>
      </w:r>
      <w:r>
        <w:rPr>
          <w:rFonts w:ascii="Times New Roman" w:hAnsi="Times New Roman"/>
          <w:b w:val="0"/>
          <w:i/>
          <w:sz w:val="24"/>
        </w:rPr>
        <w:t>P</w:t>
      </w:r>
      <w:r>
        <w:rPr>
          <w:rFonts w:ascii="Times New Roman" w:hAnsi="Times New Roman"/>
          <w:b w:val="0"/>
          <w:i w:val="0"/>
          <w:sz w:val="24"/>
        </w:rPr>
        <w:t xml:space="preserve"> &lt; 0.05 and |logFC| &gt; 1; 2,986 up- and 368 down-regulated genes) and report those results as the bulk-level mechanistic context. We keep the signature-level and bulk-level enrichments distinct, because they answer different questions.</w:t>
      </w:r>
    </w:p>
    <w:p>
      <w:pPr>
        <w:pStyle w:val="Heading2"/>
      </w:pPr>
      <w:r>
        <w:rPr>
          <w:rFonts w:ascii="Times New Roman" w:hAnsi="Times New Roman"/>
          <w:b/>
          <w:i/>
          <w:sz w:val="24"/>
        </w:rPr>
        <w:t>2.8 Probe-collapse sensitivity</w:t>
      </w:r>
    </w:p>
    <w:p>
      <w:r>
        <w:rPr>
          <w:rFonts w:ascii="Times New Roman" w:hAnsi="Times New Roman"/>
          <w:b w:val="0"/>
          <w:i w:val="0"/>
          <w:sz w:val="24"/>
        </w:rPr>
        <w:t>GSE26549 probes were collapsed to genes by both maximum and mean probe intensity per gene; differential expression and the downstream validation gradient were recomputed under each rule to assess sensitivity to probe summarisation.</w:t>
      </w:r>
    </w:p>
    <w:p>
      <w:pPr>
        <w:pStyle w:val="Heading2"/>
      </w:pPr>
      <w:r>
        <w:rPr>
          <w:rFonts w:ascii="Times New Roman" w:hAnsi="Times New Roman"/>
          <w:b/>
          <w:i/>
          <w:sz w:val="24"/>
        </w:rPr>
        <w:t>2.9 Statistics and reproducibility</w:t>
      </w:r>
    </w:p>
    <w:p>
      <w:r>
        <w:rPr>
          <w:rFonts w:ascii="Times New Roman" w:hAnsi="Times New Roman"/>
          <w:b w:val="0"/>
          <w:i w:val="0"/>
          <w:sz w:val="24"/>
        </w:rPr>
        <w:t>Spearman and Kruskal–Wallis tests, eta-squared, and LASSO were computed in R 4.3.3 (limma, glmnet, Seurat, enrichR). Session information and dataset versions accompany the analysis scripts in the project repository. No new biological samples were generated.</w:t>
      </w:r>
    </w:p>
    <w:p>
      <w:pPr>
        <w:pStyle w:val="Heading1"/>
      </w:pPr>
      <w:r>
        <w:rPr>
          <w:rFonts w:ascii="Times New Roman" w:hAnsi="Times New Roman"/>
          <w:b/>
          <w:i w:val="0"/>
          <w:sz w:val="24"/>
        </w:rPr>
        <w:t>3. Results</w:t>
      </w:r>
    </w:p>
    <w:p>
      <w:pPr>
        <w:pStyle w:val="Heading2"/>
      </w:pPr>
      <w:r>
        <w:rPr>
          <w:rFonts w:ascii="Times New Roman" w:hAnsi="Times New Roman"/>
          <w:b/>
          <w:i/>
          <w:sz w:val="24"/>
        </w:rPr>
        <w:t>3.1 Discovery signature</w:t>
      </w:r>
    </w:p>
    <w:p>
      <w:r>
        <w:rPr>
          <w:rFonts w:ascii="Times New Roman" w:hAnsi="Times New Roman"/>
          <w:b w:val="0"/>
          <w:i w:val="0"/>
          <w:sz w:val="24"/>
        </w:rPr>
        <w:t xml:space="preserve">Differential expression in GSE26549 baseline biopsies (21 progressing versus 41 non-progressing) yielded 101 signature genes at adj. </w:t>
      </w:r>
      <w:r>
        <w:rPr>
          <w:rFonts w:ascii="Times New Roman" w:hAnsi="Times New Roman"/>
          <w:b w:val="0"/>
          <w:i/>
          <w:sz w:val="24"/>
        </w:rPr>
        <w:t>P</w:t>
      </w:r>
      <w:r>
        <w:rPr>
          <w:rFonts w:ascii="Times New Roman" w:hAnsi="Times New Roman"/>
          <w:b w:val="0"/>
          <w:i w:val="0"/>
          <w:sz w:val="24"/>
        </w:rPr>
        <w:t xml:space="preserve"> &lt; 0.05 and |logFC| &gt; 0.5. Of these, 86 were represented in the GSE227919 cohort, of which ~91% were directionally concordant. The signature includes progression-associated genes such as iron metabolism (TFRC) and ECM/immune reprogramming (SPP1), consistent with a malignant-preneoplastic expression programme.</w:t>
      </w:r>
    </w:p>
    <w:p>
      <w:pPr>
        <w:pStyle w:val="Heading2"/>
      </w:pPr>
      <w:r>
        <w:rPr>
          <w:rFonts w:ascii="Times New Roman" w:hAnsi="Times New Roman"/>
          <w:b/>
          <w:i/>
          <w:sz w:val="24"/>
        </w:rPr>
        <w:t>3.2 External validation as a severity gradient</w:t>
      </w:r>
    </w:p>
    <w:p>
      <w:r>
        <w:rPr>
          <w:rFonts w:ascii="Times New Roman" w:hAnsi="Times New Roman"/>
          <w:b w:val="0"/>
          <w:i w:val="0"/>
          <w:sz w:val="24"/>
        </w:rPr>
        <w:t>In the independent RNA-seq cohort GSE227919, the direction-weighted z-score signature tracked the ordinal severity axis with Spearman ρ = 0.473 (</w:t>
      </w:r>
      <w:r>
        <w:rPr>
          <w:rFonts w:ascii="Times New Roman" w:hAnsi="Times New Roman"/>
          <w:b w:val="0"/>
          <w:i/>
          <w:sz w:val="24"/>
        </w:rPr>
        <w:t>P</w:t>
      </w:r>
      <w:r>
        <w:rPr>
          <w:rFonts w:ascii="Times New Roman" w:hAnsi="Times New Roman"/>
          <w:b w:val="0"/>
          <w:i w:val="0"/>
          <w:sz w:val="24"/>
        </w:rPr>
        <w:t xml:space="preserve"> = 5.99 × 10⁻⁵) across all 66 samples (Figure 1A). Excluding the nine cancer cases, the gradient remained significant in the premalignant range (Control/HkNR/dysplasia, n = 57; ρ = 0.356, </w:t>
      </w:r>
      <w:r>
        <w:rPr>
          <w:rFonts w:ascii="Times New Roman" w:hAnsi="Times New Roman"/>
          <w:b w:val="0"/>
          <w:i/>
          <w:sz w:val="24"/>
        </w:rPr>
        <w:t>P</w:t>
      </w:r>
      <w:r>
        <w:rPr>
          <w:rFonts w:ascii="Times New Roman" w:hAnsi="Times New Roman"/>
          <w:b w:val="0"/>
          <w:i w:val="0"/>
          <w:sz w:val="24"/>
        </w:rPr>
        <w:t xml:space="preserve"> = 0.007), indicating the signal reflects graded premalignant severity rather than a cancer-versus-non-cancer split. Internal five-fold cross-validation on the discovery cohort gave an AUC of 1.0, which we report as an optimistic discovery-phase estimate attributable to gene-selection circularity. Directly transferring the discovery LASSO coefficients to GSE227919 yielded a markedly lower AUC (0.435), illustrating the expected failure of naive cross-platform coefficient transfer and motivating the direction-weighted score. In the smaller subset with progression-status annotations (n = 27) the score did not separate groups (AUC 0.55, </w:t>
      </w:r>
      <w:r>
        <w:rPr>
          <w:rFonts w:ascii="Times New Roman" w:hAnsi="Times New Roman"/>
          <w:b w:val="0"/>
          <w:i/>
          <w:sz w:val="24"/>
        </w:rPr>
        <w:t>P</w:t>
      </w:r>
      <w:r>
        <w:rPr>
          <w:rFonts w:ascii="Times New Roman" w:hAnsi="Times New Roman"/>
          <w:b w:val="0"/>
          <w:i w:val="0"/>
          <w:sz w:val="24"/>
        </w:rPr>
        <w:t xml:space="preserve"> = 0.71), consistent with limited power for an endpoint-defined contrast.</w:t>
      </w:r>
    </w:p>
    <w:p>
      <w:pPr>
        <w:pStyle w:val="Heading2"/>
      </w:pPr>
      <w:r>
        <w:rPr>
          <w:rFonts w:ascii="Times New Roman" w:hAnsi="Times New Roman"/>
          <w:b/>
          <w:i/>
          <w:sz w:val="24"/>
        </w:rPr>
        <w:t>3.3 Single-cell localisation</w:t>
      </w:r>
    </w:p>
    <w:p>
      <w:r>
        <w:rPr>
          <w:rFonts w:ascii="Times New Roman" w:hAnsi="Times New Roman"/>
          <w:b w:val="0"/>
          <w:i w:val="0"/>
          <w:sz w:val="24"/>
        </w:rPr>
        <w:t xml:space="preserve">Across the three PVL lesion blocks (approximately 28,000 cells, 24 clusters), the ecosystem was keratinocyte-dominant with discernible T-cell infiltration [3,4]. Marker-based estimates of specific immune states varied along the lesion: Treg cells were slightly more frequent in the bulky block (1.16% vs 0.73–0.86%; Cramér's V = 0.02), whereas plasma cells peaked in the KUS block (5.9%) and mast cells in the corrugated block (1.0%). The progression signature, however, showed no lesion-level gradient: between-block η² = 0.006 (Kruskal–Wallis </w:t>
      </w:r>
      <w:r>
        <w:rPr>
          <w:rFonts w:ascii="Times New Roman" w:hAnsi="Times New Roman"/>
          <w:b w:val="0"/>
          <w:i/>
          <w:sz w:val="24"/>
        </w:rPr>
        <w:t>P</w:t>
      </w:r>
      <w:r>
        <w:rPr>
          <w:rFonts w:ascii="Times New Roman" w:hAnsi="Times New Roman"/>
          <w:b w:val="0"/>
          <w:i w:val="0"/>
          <w:sz w:val="24"/>
        </w:rPr>
        <w:t xml:space="preserve"> = 1.13 × 10⁻¹¹, but η² below the small-effect threshold of 0.01) (Figure 1B). The signature was instead concentrated in specific cell states. Quantifying cluster-level localisation (per-cell direction-weighted score, cluster versus the remaining cells, Wilcoxon rank-sum with BH-FDR correction), the five clusters with the highest mean scores were 5, 13, 22, 23 and 15; each exceeded the rest with a medium-to-large ordinal effect size (Cliff's δ = 0.43–0.89; cluster 5 strongest: δ = 0.89, η² = 0.28) (Supplementary Figure S1). Because the dataset comprises 28,543 cells, all 24 clusters reached nominal FDR &lt; 0.05, so we interpret the rank-ordered effect sizes rather than the significance test; the five clusters nonetheless represent the strongest signature concentrations. Four of the 20 LASSO-selected genes (QPCT, ECM1, S100A7A, RBP7) overlapped epithelial/keratinocyte cluster markers, providing a cell-level anchor for the risk model. Pseudobulk direction concordance with the bulk logFC was 67.8%.</w:t>
      </w:r>
    </w:p>
    <w:p>
      <w:pPr>
        <w:pStyle w:val="Heading2"/>
      </w:pPr>
      <w:r>
        <w:rPr>
          <w:rFonts w:ascii="Times New Roman" w:hAnsi="Times New Roman"/>
          <w:b/>
          <w:i/>
          <w:sz w:val="24"/>
        </w:rPr>
        <w:t>3.4 In silico drug repositioning</w:t>
      </w:r>
    </w:p>
    <w:p>
      <w:r>
        <w:rPr>
          <w:rFonts w:ascii="Times New Roman" w:hAnsi="Times New Roman"/>
          <w:b w:val="0"/>
          <w:i w:val="0"/>
          <w:sz w:val="24"/>
        </w:rPr>
        <w:t xml:space="preserve">The combined single-direction LINCS queries returned 728 nominally significant entries (adjusted P &lt; 0.05; 720 from the progression-down genes against the chemical-perturbation-up library and 8 from the progression-up genes against the chemical-perturbation-down library), 727 after deduplication of one entry retrieved by both queries; these correspond to 244 unique compounds. The two-direction reversal intersection narrowed these to eight candidates significant in both directions (Figure 2, Table 1): sorafenib (multi-kinase), torin-1 (mTOR), AZD-7762 and PF-477736 (CHK1), GSK-1059615 (PI3K/mTOR), ZSTK-474 (PI3K), HG-6-64-01 (HDAC) and AS-601245 (JNK). Hub progression-high genes (TFRC, SPP1) were consistently down-regulated and progression-low genes (ECM1, PDGFRA, IGFBP5, PTN) up-regulated across candidates. We stratified candidates into a priority tier (PI3K/mTOR: torin-1, GSK-1059615, ZSTK-474), supported by metformin's demonstrated histological response in oral premalignant lesions, and an exploratory tier (CHK1, HDAC, JNK, multi-kinase). Throughout, we use the term </w:t>
      </w:r>
      <w:r>
        <w:rPr>
          <w:rFonts w:ascii="Times New Roman" w:hAnsi="Times New Roman"/>
          <w:b w:val="0"/>
          <w:i/>
          <w:sz w:val="24"/>
        </w:rPr>
        <w:t>transcriptome-matched candidate compounds</w:t>
      </w:r>
      <w:r>
        <w:rPr>
          <w:rFonts w:ascii="Times New Roman" w:hAnsi="Times New Roman"/>
          <w:b w:val="0"/>
          <w:i w:val="0"/>
          <w:sz w:val="24"/>
        </w:rPr>
        <w:t xml:space="preserve"> and make no causal reversal claim.</w:t>
      </w:r>
    </w:p>
    <w:p>
      <w:pPr>
        <w:pStyle w:val="Heading2"/>
      </w:pPr>
      <w:r>
        <w:rPr>
          <w:rFonts w:ascii="Times New Roman" w:hAnsi="Times New Roman"/>
          <w:b/>
          <w:i/>
          <w:sz w:val="24"/>
        </w:rPr>
        <w:t>3.5 Pathway deconvolution</w:t>
      </w:r>
    </w:p>
    <w:p>
      <w:r>
        <w:rPr>
          <w:rFonts w:ascii="Times New Roman" w:hAnsi="Times New Roman"/>
          <w:b w:val="0"/>
          <w:i w:val="0"/>
          <w:sz w:val="24"/>
        </w:rPr>
        <w:t xml:space="preserve">At the signature level, Enrichr returned a single significant Hallmark term (UV Response Down; adj. </w:t>
      </w:r>
      <w:r>
        <w:rPr>
          <w:rFonts w:ascii="Times New Roman" w:hAnsi="Times New Roman"/>
          <w:b w:val="0"/>
          <w:i/>
          <w:sz w:val="24"/>
        </w:rPr>
        <w:t>P</w:t>
      </w:r>
      <w:r>
        <w:rPr>
          <w:rFonts w:ascii="Times New Roman" w:hAnsi="Times New Roman"/>
          <w:b w:val="0"/>
          <w:i w:val="0"/>
          <w:sz w:val="24"/>
        </w:rPr>
        <w:t xml:space="preserve"> = 0.023) and three GO terms (steroid/androgen catabolic metabolism; negative regulation of proteolysis), with no transcription-factor library reaching significance. This sparsity indicates the 101-gene set is not a tight, singly-interpretable module. By contrast, bulk GSE227919 cancer-versus-control enrichment was rich, implicating mTORC1 (rank 9; adjusted P = 1.96 × 10⁻¹⁰) and EMT (rank 8; adjusted P = 7.4 × 10⁻¹¹) among the top-ranked terms, together with PI3K-AKT-mTOR at the margin of significance (adjusted P = 0.041), alongside E2F, G2M and interferon responses. We present the latter as the bulk-level mechanistic context that motivates the PI3K/mTOR-priority drug tier (Figure 3, Table 2), while being explicit that it is a different contrast from the signature-level enrichment.</w:t>
      </w:r>
    </w:p>
    <w:p>
      <w:pPr>
        <w:pStyle w:val="Heading2"/>
      </w:pPr>
      <w:r>
        <w:rPr>
          <w:rFonts w:ascii="Times New Roman" w:hAnsi="Times New Roman"/>
          <w:b/>
          <w:i/>
          <w:sz w:val="24"/>
        </w:rPr>
        <w:t>3.6 Probe-collapse robustness</w:t>
      </w:r>
    </w:p>
    <w:p>
      <w:r>
        <w:rPr>
          <w:rFonts w:ascii="Times New Roman" w:hAnsi="Times New Roman"/>
          <w:b w:val="0"/>
          <w:i w:val="0"/>
          <w:sz w:val="24"/>
        </w:rPr>
        <w:t>Collapsing GSE26549 probes by maximum versus mean intensity changed the signature set minimally (101 versus 102 genes; Jaccard 0.971; logFC Spearman 0.997) and did not alter the external gradient (ρ = 0.473 versus 0.47). The signature is therefore insensitive to probe-summarisation choice.</w:t>
      </w:r>
    </w:p>
    <w:p>
      <w:pPr>
        <w:pStyle w:val="Heading2"/>
      </w:pPr>
      <w:r>
        <w:rPr>
          <w:rFonts w:ascii="Times New Roman" w:hAnsi="Times New Roman"/>
          <w:b/>
          <w:i/>
          <w:sz w:val="24"/>
        </w:rPr>
        <w:t>3.7 Independent cross-sectional corroboration in a second microarray cohort</w:t>
      </w:r>
    </w:p>
    <w:p>
      <w:r>
        <w:rPr>
          <w:rFonts w:ascii="Times New Roman" w:hAnsi="Times New Roman"/>
          <w:b w:val="0"/>
          <w:i w:val="0"/>
          <w:sz w:val="24"/>
        </w:rPr>
        <w:t>To test whether the signature generalises beyond the RNA-seq platform and beyond the original population, we applied the identical direction-weighted z-score (fixed discovery weights; 83 of 101 signature genes mapped, 82.2%) to GSE85195, an independent Agilent microarray cohort from the gingivobuccal complex. In this cohort the signature strongly separated pre-malignant from malignant tissue: oral leukoplakia (OPL, n = 15) versus OSCC (n = 34) discrimination gave an AUC of 0.949 (95% CI 0.891–1.0; Figure 4A), and the score tracked the ordinal pre-malignant-to-malignant axis (OPL &lt; OSCC) with Spearman ρ = 0.717 (</w:t>
      </w:r>
      <w:r>
        <w:rPr>
          <w:rFonts w:ascii="Times New Roman" w:hAnsi="Times New Roman"/>
          <w:b w:val="0"/>
          <w:i/>
          <w:sz w:val="24"/>
        </w:rPr>
        <w:t>P</w:t>
      </w:r>
      <w:r>
        <w:rPr>
          <w:rFonts w:ascii="Times New Roman" w:hAnsi="Times New Roman"/>
          <w:b w:val="0"/>
          <w:i w:val="0"/>
          <w:sz w:val="24"/>
        </w:rPr>
        <w:t xml:space="preserve"> = 6.8 × 10⁻⁹; Figure 4B). Mean score was negative in OPL (−40.8) and positive in OSCC (+19.5). Because GSE85195 is cross-sectional — the OPL samples are prevalent leukoplakia without transformation follow-up — this result establishes that the signature discriminates the malignant from the pre-malignant </w:t>
      </w:r>
      <w:r>
        <w:rPr>
          <w:rFonts w:ascii="Times New Roman" w:hAnsi="Times New Roman"/>
          <w:b w:val="0"/>
          <w:i/>
          <w:sz w:val="24"/>
        </w:rPr>
        <w:t>state</w:t>
      </w:r>
      <w:r>
        <w:rPr>
          <w:rFonts w:ascii="Times New Roman" w:hAnsi="Times New Roman"/>
          <w:b w:val="0"/>
          <w:i w:val="0"/>
          <w:sz w:val="24"/>
        </w:rPr>
        <w:t xml:space="preserve"> and tracks the severity axis across an independent platform and population; it does not by itself predict which individual leukoplakia will transform. The single normal control (n = 1) precluded a normal-group comparison.</w:t>
      </w:r>
    </w:p>
    <w:p>
      <w:pPr>
        <w:pStyle w:val="Heading1"/>
      </w:pPr>
      <w:r>
        <w:rPr>
          <w:rFonts w:ascii="Times New Roman" w:hAnsi="Times New Roman"/>
          <w:b/>
          <w:i w:val="0"/>
          <w:sz w:val="24"/>
        </w:rPr>
        <w:t>4. Discussion</w:t>
      </w:r>
    </w:p>
    <w:p>
      <w:pPr>
        <w:pStyle w:val="Heading2"/>
      </w:pPr>
      <w:r>
        <w:rPr>
          <w:rFonts w:ascii="Times New Roman" w:hAnsi="Times New Roman"/>
          <w:b/>
          <w:i/>
          <w:sz w:val="24"/>
        </w:rPr>
        <w:t>4.1 A cross-platform validated progression signature</w:t>
      </w:r>
    </w:p>
    <w:p>
      <w:r>
        <w:rPr>
          <w:rFonts w:ascii="Times New Roman" w:hAnsi="Times New Roman"/>
          <w:b w:val="0"/>
          <w:i w:val="0"/>
          <w:sz w:val="24"/>
        </w:rPr>
        <w:t>The principal finding is that a GSE26549-derived progression signature generalises to an independent RNA-seq cohort as a graded severity signal (ρ = 0.47), and that this signal persists after removing cancer cases (ρ = 0.36). The direction-weighted z-score score is central to this result: by borrowing only each gene's discovery direction and recomputing standardisation within each cohort, it avoids the distribution shift that defeats raw coefficient transfer (observed AUC 0.435). The internal CV-AUC of 1.0 is reported candidly as optimistic; we do not present it as a generalisation estimate. The signal is further corroborated in an independent Agilent microarray cohort from a different anatomical site and population (GSE85195), where the same score discriminates oral leukoplakia from OSCC (AUC 0.95) and tracks the ordinal severity axis (ρ = 0.72), showing the signature is not an RNA-seq-specific or population-specific artefact.</w:t>
      </w:r>
    </w:p>
    <w:p>
      <w:pPr>
        <w:pStyle w:val="Heading2"/>
      </w:pPr>
      <w:r>
        <w:rPr>
          <w:rFonts w:ascii="Times New Roman" w:hAnsi="Times New Roman"/>
          <w:b/>
          <w:i/>
          <w:sz w:val="24"/>
        </w:rPr>
        <w:t>4.2 Relation to prior signatures</w:t>
      </w:r>
    </w:p>
    <w:p>
      <w:r>
        <w:rPr>
          <w:rFonts w:ascii="Times New Roman" w:hAnsi="Times New Roman"/>
          <w:b w:val="0"/>
          <w:i w:val="0"/>
          <w:sz w:val="24"/>
        </w:rPr>
        <w:t>Because the signature is derived from the same GSE26549 cohort that produced Saintigny's [1] 29-transcript model and Foy's [2] immunological/classical subtypes, it cannot claim independence from those works; rather, it is a replication and refinement using a continuous, direction-weighted score and an independent RNA-seq confirmation. Symbol-level overlap with Saintigny's sparse 29-transcript model is zero (Jaccard 0.0), which is expected because that model is an optimised classifier dominated by non-coding and Ensembl transcripts, whereas ours is a differential-expression set. The genuine independence claim rests on GSE227919, not on GSE26549.</w:t>
      </w:r>
    </w:p>
    <w:p>
      <w:pPr>
        <w:pStyle w:val="Heading2"/>
      </w:pPr>
      <w:r>
        <w:rPr>
          <w:rFonts w:ascii="Times New Roman" w:hAnsi="Times New Roman"/>
          <w:b/>
          <w:i/>
          <w:sz w:val="24"/>
        </w:rPr>
        <w:t>4.3 Cellular architecture and the immune-metabolic axis</w:t>
      </w:r>
    </w:p>
    <w:p>
      <w:r>
        <w:rPr>
          <w:rFonts w:ascii="Times New Roman" w:hAnsi="Times New Roman"/>
          <w:b w:val="0"/>
          <w:i w:val="0"/>
          <w:sz w:val="24"/>
        </w:rPr>
        <w:t>Single-cell mapping reframes the signature's meaning. It does not track the pathological continuum across lesion blocks (η² = 0.006, below the small-effect threshold of 0.01), arguing against a simple linear escalation along the KUS-to-bulky-hyperkeratosis axis. Instead it is concentrated in specific cell states, with only a modest Treg-associated signal in the most advanced block (Cramér's V = 0.02), a descriptive observation below the small-effect threshold. Accumulating immune suppression has been described in single-cell studies of OL/PVL progression [3,5,6]; our data offer at best weak, directionally consistent support. Signature-level metabolic evidence is likewise limited to GO terms for steroid/androgen metabolism and negative regulation of proteolysis, so we do not interpret the signature as reflecting systematic metabolic reprogramming. We therefore interpret the bulk signature as a cohort-level property of progression biology, locally expressed in specific epithelial and immune cell states, rather than a uniform field across one lesion.</w:t>
      </w:r>
    </w:p>
    <w:p>
      <w:pPr>
        <w:pStyle w:val="Heading2"/>
      </w:pPr>
      <w:r>
        <w:rPr>
          <w:rFonts w:ascii="Times New Roman" w:hAnsi="Times New Roman"/>
          <w:b/>
          <w:i/>
          <w:sz w:val="24"/>
        </w:rPr>
        <w:t>4.4 Drug candidates and clinical precedent</w:t>
      </w:r>
    </w:p>
    <w:p>
      <w:r>
        <w:rPr>
          <w:rFonts w:ascii="Times New Roman" w:hAnsi="Times New Roman"/>
          <w:b w:val="0"/>
          <w:i w:val="0"/>
          <w:sz w:val="24"/>
        </w:rPr>
        <w:t>Eight transcriptome-matched candidates emerged from a stringent two-direction reversal test. The PI3K/mTOR tier is prioritised because Gutkind et al. [7] reported a 60% histological response rate to metformin in evaluated oral premalignant lesions, with pS6 reduction correlating with response (P = 0.04). That human oral-lesion precedent, not merely cell-line logic, justifies advancing PI3K/mTOR inhibitors (torin-1, GSK-1059615, ZSTK-474) ahead of the exploratory CHK1/HDAC/JNK tier. We stress that LINCS perturbations derive from cancer cell lines, so three assumptions separate them from oral epithelia (cell-line approximates keratinocyte, transcriptional reversal approximates phenotypic reversal, in vitro approximates in vivo); the candidates are hypotheses for prospective testing, not validated preventives.</w:t>
      </w:r>
    </w:p>
    <w:p>
      <w:pPr>
        <w:pStyle w:val="Heading2"/>
      </w:pPr>
      <w:r>
        <w:rPr>
          <w:rFonts w:ascii="Times New Roman" w:hAnsi="Times New Roman"/>
          <w:b/>
          <w:i/>
          <w:sz w:val="24"/>
        </w:rPr>
        <w:t>4.5 Limitations</w:t>
      </w:r>
    </w:p>
    <w:p>
      <w:r>
        <w:rPr>
          <w:rFonts w:ascii="Times New Roman" w:hAnsi="Times New Roman"/>
          <w:b w:val="0"/>
          <w:i w:val="0"/>
          <w:sz w:val="24"/>
        </w:rPr>
        <w:t>Several limits bound the conclusions. The discovery and best-known prior signatures share GSE26549, so discovery and replication-within-cohort are entangled; the independent evidence now includes GSE227919 (RNA-seq severity gradient) and GSE85195 (microarray cross-sectional discrimination), which together show the signature generalises across platform and population. However, GSE227919 carries progression-status annotations for only 27 of 66 samples (yielding a low-power subset analysis), and GSE85195 is cross-sectional; both therefore establish that the signature tracks the pre-malignant-to-malignant axis rather than predicting individual transformation; a prospective transformation-outcome cohort remains the key unmet need. External validation power is modest (GSE227919 n = 66; progression-defined subsets smaller still), so the gradient, while significant, is a medium effect. GSE85195 contributed only one normal control, precluding a normal-group comparison and leaving the pre-malignant-to-normal separation untested. Single-cell analysis used one PVL lesion without outcome labels, so cellular findings are descriptive. LINCS candidates lack in vitro or in vivo validation and are cell-line derived. We further note that metformin inhibits mTOR indirectly, so the clinical precedent supports the PI3K/mTOR axis as a therapeutic concept rather than equivalence with direct inhibitors such as torin-1. Enrichment used Enrichr against L1000, whose cross-dataset reproducibility is limited [15]; the LINCS consensus-signature library contains only up-direction perturbation terms and covers only one of our eight candidates, so it could not provide an independent confirmation layer for the reversal candidates. Finally, no batch-integration was performed across platforms; the direction-weighted z-score score substitutes for probabilistic matching.</w:t>
      </w:r>
    </w:p>
    <w:p>
      <w:pPr>
        <w:pStyle w:val="Heading1"/>
      </w:pPr>
      <w:r>
        <w:rPr>
          <w:rFonts w:ascii="Times New Roman" w:hAnsi="Times New Roman"/>
          <w:b/>
          <w:i w:val="0"/>
          <w:sz w:val="24"/>
        </w:rPr>
        <w:t>5. Conclusion</w:t>
      </w:r>
    </w:p>
    <w:p>
      <w:r>
        <w:rPr>
          <w:rFonts w:ascii="Times New Roman" w:hAnsi="Times New Roman"/>
          <w:b w:val="0"/>
          <w:i w:val="0"/>
          <w:sz w:val="24"/>
        </w:rPr>
        <w:t>A progression signature originally described in the GSE26549 microarray cohort is independently validated on RNA-seq as a graded severity signal and is localised to specific epithelial and immune cell states within PVL. Eight transcriptome-matched compounds are proposed as chemoprevention candidates, with PI3K/mTOR inhibition the most clinically supported. The work illustrates a transparent, platform-agnostic validation path for oral potentially malignant disorder signatures and yields concrete, testable prevention hypotheses.</w:t>
      </w:r>
    </w:p>
    <w:p>
      <w:pPr>
        <w:pStyle w:val="Heading1"/>
      </w:pPr>
      <w:r>
        <w:rPr>
          <w:rFonts w:ascii="Times New Roman" w:hAnsi="Times New Roman"/>
          <w:b/>
          <w:i w:val="0"/>
          <w:sz w:val="24"/>
        </w:rPr>
        <w:t>Declarations</w:t>
      </w:r>
    </w:p>
    <w:p>
      <w:r>
        <w:rPr>
          <w:rFonts w:ascii="Times New Roman" w:hAnsi="Times New Roman"/>
          <w:b/>
          <w:i w:val="0"/>
          <w:sz w:val="24"/>
        </w:rPr>
        <w:t>CRediT authorship contribution statement.</w:t>
      </w:r>
    </w:p>
    <w:p>
      <w:r>
        <w:rPr>
          <w:rFonts w:ascii="Times New Roman" w:hAnsi="Times New Roman"/>
          <w:b/>
          <w:i w:val="0"/>
          <w:sz w:val="24"/>
        </w:rPr>
        <w:t>Ma Keke:</w:t>
      </w:r>
      <w:r>
        <w:rPr>
          <w:rFonts w:ascii="Times New Roman" w:hAnsi="Times New Roman"/>
          <w:b w:val="0"/>
          <w:i w:val="0"/>
          <w:sz w:val="24"/>
        </w:rPr>
        <w:t xml:space="preserve"> Conceptualization; Methodology; Writing – original draft; Writing – review &amp; editing.</w:t>
      </w:r>
    </w:p>
    <w:p>
      <w:r>
        <w:rPr>
          <w:rFonts w:ascii="Times New Roman" w:hAnsi="Times New Roman"/>
          <w:b/>
          <w:i w:val="0"/>
          <w:sz w:val="24"/>
        </w:rPr>
        <w:t>Liu Ruiguang:</w:t>
      </w:r>
      <w:r>
        <w:rPr>
          <w:rFonts w:ascii="Times New Roman" w:hAnsi="Times New Roman"/>
          <w:b w:val="0"/>
          <w:i w:val="0"/>
          <w:sz w:val="24"/>
        </w:rPr>
        <w:t xml:space="preserve"> Software; Formal analysis.</w:t>
      </w:r>
    </w:p>
    <w:p>
      <w:r>
        <w:rPr>
          <w:rFonts w:ascii="Times New Roman" w:hAnsi="Times New Roman"/>
          <w:b/>
          <w:i w:val="0"/>
          <w:sz w:val="24"/>
        </w:rPr>
        <w:t>Li Yunpeng:</w:t>
      </w:r>
      <w:r>
        <w:rPr>
          <w:rFonts w:ascii="Times New Roman" w:hAnsi="Times New Roman"/>
          <w:b w:val="0"/>
          <w:i w:val="0"/>
          <w:sz w:val="24"/>
        </w:rPr>
        <w:t xml:space="preserve"> Methodology.</w:t>
      </w:r>
    </w:p>
    <w:p>
      <w:r>
        <w:rPr>
          <w:rFonts w:ascii="Times New Roman" w:hAnsi="Times New Roman"/>
          <w:b/>
          <w:i w:val="0"/>
          <w:sz w:val="24"/>
        </w:rPr>
        <w:t>Liu Hanping:</w:t>
      </w:r>
      <w:r>
        <w:rPr>
          <w:rFonts w:ascii="Times New Roman" w:hAnsi="Times New Roman"/>
          <w:b w:val="0"/>
          <w:i w:val="0"/>
          <w:sz w:val="24"/>
        </w:rPr>
        <w:t xml:space="preserve"> Validation; Investigation.</w:t>
      </w:r>
    </w:p>
    <w:p>
      <w:r>
        <w:rPr>
          <w:rFonts w:ascii="Times New Roman" w:hAnsi="Times New Roman"/>
          <w:b/>
          <w:i w:val="0"/>
          <w:sz w:val="24"/>
        </w:rPr>
        <w:t>Wang Yuqian:</w:t>
      </w:r>
      <w:r>
        <w:rPr>
          <w:rFonts w:ascii="Times New Roman" w:hAnsi="Times New Roman"/>
          <w:b w:val="0"/>
          <w:i w:val="0"/>
          <w:sz w:val="24"/>
        </w:rPr>
        <w:t xml:space="preserve"> Resources; Data curation; Supervision.</w:t>
      </w:r>
    </w:p>
    <w:p>
      <w:r>
        <w:rPr>
          <w:rFonts w:ascii="Times New Roman" w:hAnsi="Times New Roman"/>
          <w:b w:val="0"/>
          <w:i w:val="0"/>
          <w:sz w:val="24"/>
        </w:rPr>
        <w:t>All authors read and approved the final manuscript.</w:t>
      </w:r>
    </w:p>
    <w:p>
      <w:r>
        <w:rPr>
          <w:rFonts w:ascii="Times New Roman" w:hAnsi="Times New Roman"/>
          <w:b/>
          <w:i w:val="0"/>
          <w:sz w:val="24"/>
        </w:rPr>
        <w:t>Declaration of competing interest.</w:t>
      </w:r>
      <w:r>
        <w:rPr>
          <w:rFonts w:ascii="Times New Roman" w:hAnsi="Times New Roman"/>
          <w:b w:val="0"/>
          <w:i w:val="0"/>
          <w:sz w:val="24"/>
        </w:rPr>
        <w:t xml:space="preserve"> The authors declare no competing interests.</w:t>
      </w:r>
    </w:p>
    <w:p>
      <w:r>
        <w:rPr>
          <w:rFonts w:ascii="Times New Roman" w:hAnsi="Times New Roman"/>
          <w:b/>
          <w:i w:val="0"/>
          <w:sz w:val="24"/>
        </w:rPr>
        <w:t>Funding.</w:t>
      </w:r>
      <w:r>
        <w:rPr>
          <w:rFonts w:ascii="Times New Roman" w:hAnsi="Times New Roman"/>
          <w:b w:val="0"/>
          <w:i w:val="0"/>
          <w:sz w:val="24"/>
        </w:rPr>
        <w:t xml:space="preserve"> This research received no specific grant from any funding agency.</w:t>
      </w:r>
    </w:p>
    <w:p>
      <w:r>
        <w:rPr>
          <w:rFonts w:ascii="Times New Roman" w:hAnsi="Times New Roman"/>
          <w:b/>
          <w:i w:val="0"/>
          <w:sz w:val="24"/>
        </w:rPr>
        <w:t>Data availability.</w:t>
      </w:r>
      <w:r>
        <w:rPr>
          <w:rFonts w:ascii="Times New Roman" w:hAnsi="Times New Roman"/>
          <w:b w:val="0"/>
          <w:i w:val="0"/>
          <w:sz w:val="24"/>
        </w:rPr>
        <w:t xml:space="preserve"> All input data are public and were downloaded from the Gene Expression Omnibus (https://www.ncbi.nlm.nih.gov/geo/): GSE26549, GSE227919, GSE196296 and GSE85195. The complete 101-gene signature, per-sample direction-weighted scores for the GSE227919 and GSE85195 validation cohorts, single-cell cluster-level statistics, and all analysis scripts with session information (R 4.3.3, package versions) are deposited in a public Zenodo repository at https://doi.org/10.5281/zenodo.21823583; that concept DOI always resolves to the latest version, and the version used here is version 2 (https://doi.org/10.5281/zenodo.23453360). The version-controlled analysis code is also available on GitHub at https://github.com/PaperValidation/stomatology-pvl; the Zenodo record above is the canonical public archive. Dataset accessions and download dates, the file inventory, and the reproduction procedure are listed in the deposit README.</w:t>
      </w:r>
    </w:p>
    <w:p>
      <w:r>
        <w:rPr>
          <w:rFonts w:ascii="Times New Roman" w:hAnsi="Times New Roman"/>
          <w:b/>
          <w:i w:val="0"/>
          <w:sz w:val="24"/>
        </w:rPr>
        <w:t>Ethics statement.</w:t>
      </w:r>
      <w:r>
        <w:rPr>
          <w:rFonts w:ascii="Times New Roman" w:hAnsi="Times New Roman"/>
          <w:b w:val="0"/>
          <w:i w:val="0"/>
          <w:sz w:val="24"/>
        </w:rPr>
        <w:t xml:space="preserve"> This study is a secondary analysis of de-identified public datasets with no individual-level identifiers and no new subject recruitment; institutional review board approval was not required.</w:t>
      </w:r>
    </w:p>
    <w:p>
      <w:r>
        <w:rPr>
          <w:rFonts w:ascii="Times New Roman" w:hAnsi="Times New Roman"/>
          <w:b/>
          <w:i w:val="0"/>
          <w:sz w:val="24"/>
        </w:rPr>
        <w:t>Declaration of generative AI and AI-assisted technologies in the manuscript preparation process.</w:t>
      </w:r>
      <w:r>
        <w:rPr>
          <w:rFonts w:ascii="Times New Roman" w:hAnsi="Times New Roman"/>
          <w:b w:val="0"/>
          <w:i w:val="0"/>
          <w:sz w:val="24"/>
        </w:rPr>
        <w:t xml:space="preserve"> During the preparation of this work the authors used ChatGPT and WorkBuddy to assist with drafting, language editing, and formatting. After using these tools, the authors reviewed and edited the content as needed and take full responsibility for the content of the published article.</w:t>
      </w:r>
    </w:p>
    <w:p>
      <w:pPr>
        <w:pStyle w:val="Heading1"/>
      </w:pPr>
      <w:r>
        <w:rPr>
          <w:rFonts w:ascii="Times New Roman" w:hAnsi="Times New Roman"/>
          <w:b/>
          <w:i w:val="0"/>
          <w:sz w:val="24"/>
        </w:rPr>
        <w:t>References</w:t>
      </w:r>
    </w:p>
    <w:p>
      <w:pPr>
        <w:ind w:left="283" w:hanging="283"/>
      </w:pPr>
      <w:r>
        <w:rPr>
          <w:rFonts w:ascii="Times New Roman" w:hAnsi="Times New Roman"/>
          <w:b w:val="0"/>
          <w:i w:val="0"/>
          <w:sz w:val="24"/>
        </w:rPr>
        <w:t xml:space="preserve">1. Saintigny P, Zhang L, Fan YH, et al. Gene expression profiling predicts the development of oral cancer. </w:t>
      </w:r>
      <w:r>
        <w:rPr>
          <w:rFonts w:ascii="Times New Roman" w:hAnsi="Times New Roman"/>
          <w:b w:val="0"/>
          <w:i/>
          <w:sz w:val="24"/>
        </w:rPr>
        <w:t>Cancer Prev Res (Phila).</w:t>
      </w:r>
      <w:r>
        <w:rPr>
          <w:rFonts w:ascii="Times New Roman" w:hAnsi="Times New Roman"/>
          <w:b w:val="0"/>
          <w:i w:val="0"/>
          <w:sz w:val="24"/>
        </w:rPr>
        <w:t xml:space="preserve"> 2011;4(2):218-229. doi:10.1158/1940-6207.CAPR-10-0155</w:t>
      </w:r>
    </w:p>
    <w:p>
      <w:pPr>
        <w:ind w:left="283" w:hanging="283"/>
      </w:pPr>
      <w:r>
        <w:rPr>
          <w:rFonts w:ascii="Times New Roman" w:hAnsi="Times New Roman"/>
          <w:b w:val="0"/>
          <w:i w:val="0"/>
          <w:sz w:val="24"/>
        </w:rPr>
        <w:t xml:space="preserve">2. Foy JP, Bertolus C, Ortiz-Cuaran S, et al. Immunological and classical subtypes of oral premalignant lesions. </w:t>
      </w:r>
      <w:r>
        <w:rPr>
          <w:rFonts w:ascii="Times New Roman" w:hAnsi="Times New Roman"/>
          <w:b w:val="0"/>
          <w:i/>
          <w:sz w:val="24"/>
        </w:rPr>
        <w:t>Oncoimmunology.</w:t>
      </w:r>
      <w:r>
        <w:rPr>
          <w:rFonts w:ascii="Times New Roman" w:hAnsi="Times New Roman"/>
          <w:b w:val="0"/>
          <w:i w:val="0"/>
          <w:sz w:val="24"/>
        </w:rPr>
        <w:t xml:space="preserve"> 2018;7(12):e1496880. doi:10.1080/2162402X.2018.1496880</w:t>
      </w:r>
    </w:p>
    <w:p>
      <w:pPr>
        <w:ind w:left="283" w:hanging="283"/>
      </w:pPr>
      <w:r>
        <w:rPr>
          <w:rFonts w:ascii="Times New Roman" w:hAnsi="Times New Roman"/>
          <w:b w:val="0"/>
          <w:i w:val="0"/>
          <w:sz w:val="24"/>
        </w:rPr>
        <w:t xml:space="preserve">3. Zhong L, Wang F, Liu D, et al. Single-cell transcriptomics dissects premalignant progression in proliferative verrucous leukoplakia. </w:t>
      </w:r>
      <w:r>
        <w:rPr>
          <w:rFonts w:ascii="Times New Roman" w:hAnsi="Times New Roman"/>
          <w:b w:val="0"/>
          <w:i/>
          <w:sz w:val="24"/>
        </w:rPr>
        <w:t>Oral Dis.</w:t>
      </w:r>
      <w:r>
        <w:rPr>
          <w:rFonts w:ascii="Times New Roman" w:hAnsi="Times New Roman"/>
          <w:b w:val="0"/>
          <w:i w:val="0"/>
          <w:sz w:val="24"/>
        </w:rPr>
        <w:t xml:space="preserve"> 2024;30(2):172-186. doi:10.1111/odi.14347</w:t>
      </w:r>
    </w:p>
    <w:p>
      <w:pPr>
        <w:ind w:left="283" w:hanging="283"/>
      </w:pPr>
      <w:r>
        <w:rPr>
          <w:rFonts w:ascii="Times New Roman" w:hAnsi="Times New Roman"/>
          <w:b w:val="0"/>
          <w:i w:val="0"/>
          <w:sz w:val="24"/>
        </w:rPr>
        <w:t xml:space="preserve">4. Puram SV, Tirosh I, Parikh AS, et al. Single-cell transcriptomic analysis of primary and metastatic tumor ecosystems in head and neck cancer. </w:t>
      </w:r>
      <w:r>
        <w:rPr>
          <w:rFonts w:ascii="Times New Roman" w:hAnsi="Times New Roman"/>
          <w:b w:val="0"/>
          <w:i/>
          <w:sz w:val="24"/>
        </w:rPr>
        <w:t>Cell.</w:t>
      </w:r>
      <w:r>
        <w:rPr>
          <w:rFonts w:ascii="Times New Roman" w:hAnsi="Times New Roman"/>
          <w:b w:val="0"/>
          <w:i w:val="0"/>
          <w:sz w:val="24"/>
        </w:rPr>
        <w:t xml:space="preserve"> 2017;171(7):1611-1624.e24. doi:10.1016/j.cell.2017.10.044</w:t>
      </w:r>
    </w:p>
    <w:p>
      <w:pPr>
        <w:ind w:left="283" w:hanging="283"/>
      </w:pPr>
      <w:r>
        <w:rPr>
          <w:rFonts w:ascii="Times New Roman" w:hAnsi="Times New Roman"/>
          <w:b w:val="0"/>
          <w:i w:val="0"/>
          <w:sz w:val="24"/>
        </w:rPr>
        <w:t xml:space="preserve">5. Sun L, Kang X, Wang C, et al. Single-cell and spatial dissection of precancerous lesions underlying the initiation of oral squamous cell carcinoma. </w:t>
      </w:r>
      <w:r>
        <w:rPr>
          <w:rFonts w:ascii="Times New Roman" w:hAnsi="Times New Roman"/>
          <w:b w:val="0"/>
          <w:i/>
          <w:sz w:val="24"/>
        </w:rPr>
        <w:t>Cell Discov.</w:t>
      </w:r>
      <w:r>
        <w:rPr>
          <w:rFonts w:ascii="Times New Roman" w:hAnsi="Times New Roman"/>
          <w:b w:val="0"/>
          <w:i w:val="0"/>
          <w:sz w:val="24"/>
        </w:rPr>
        <w:t xml:space="preserve"> 2023;9(1):28. doi:10.1038/s41421-023-00532-4</w:t>
      </w:r>
    </w:p>
    <w:p>
      <w:pPr>
        <w:ind w:left="283" w:hanging="283"/>
      </w:pPr>
      <w:r>
        <w:rPr>
          <w:rFonts w:ascii="Times New Roman" w:hAnsi="Times New Roman"/>
          <w:b w:val="0"/>
          <w:i w:val="0"/>
          <w:sz w:val="24"/>
        </w:rPr>
        <w:t xml:space="preserve">6. Wang H, Guan Z, Zheng L. Single-cell RNA sequencing explores the evolution of the ecosystem from leukoplakia to HNSCC. </w:t>
      </w:r>
      <w:r>
        <w:rPr>
          <w:rFonts w:ascii="Times New Roman" w:hAnsi="Times New Roman"/>
          <w:b w:val="0"/>
          <w:i/>
          <w:sz w:val="24"/>
        </w:rPr>
        <w:t>Sci Rep.</w:t>
      </w:r>
      <w:r>
        <w:rPr>
          <w:rFonts w:ascii="Times New Roman" w:hAnsi="Times New Roman"/>
          <w:b w:val="0"/>
          <w:i w:val="0"/>
          <w:sz w:val="24"/>
        </w:rPr>
        <w:t xml:space="preserve"> 2024;14(1):8097. doi:10.1038/s41598-024-58978-9</w:t>
      </w:r>
    </w:p>
    <w:p>
      <w:pPr>
        <w:ind w:left="283" w:hanging="283"/>
      </w:pPr>
      <w:r>
        <w:rPr>
          <w:rFonts w:ascii="Times New Roman" w:hAnsi="Times New Roman"/>
          <w:b w:val="0"/>
          <w:i w:val="0"/>
          <w:sz w:val="24"/>
        </w:rPr>
        <w:t xml:space="preserve">7. Gutkind JS, Molinolo AA, Wu X, et al. Inhibition of mTOR signaling and clinical activity of metformin in oral premalignant lesions. </w:t>
      </w:r>
      <w:r>
        <w:rPr>
          <w:rFonts w:ascii="Times New Roman" w:hAnsi="Times New Roman"/>
          <w:b w:val="0"/>
          <w:i/>
          <w:sz w:val="24"/>
        </w:rPr>
        <w:t>JCI Insight.</w:t>
      </w:r>
      <w:r>
        <w:rPr>
          <w:rFonts w:ascii="Times New Roman" w:hAnsi="Times New Roman"/>
          <w:b w:val="0"/>
          <w:i w:val="0"/>
          <w:sz w:val="24"/>
        </w:rPr>
        <w:t xml:space="preserve"> 2021;6(17):e147096. doi:10.1172/jci.insight.147096</w:t>
      </w:r>
    </w:p>
    <w:p>
      <w:pPr>
        <w:ind w:left="283" w:hanging="283"/>
      </w:pPr>
      <w:r>
        <w:rPr>
          <w:rFonts w:ascii="Times New Roman" w:hAnsi="Times New Roman"/>
          <w:b w:val="0"/>
          <w:i w:val="0"/>
          <w:sz w:val="24"/>
        </w:rPr>
        <w:t xml:space="preserve">8. Subramanian A, Narayan R, Corsello SM, et al. A Next Generation Connectivity Map: L1000 platform and the first 1,000,000 profiles. </w:t>
      </w:r>
      <w:r>
        <w:rPr>
          <w:rFonts w:ascii="Times New Roman" w:hAnsi="Times New Roman"/>
          <w:b w:val="0"/>
          <w:i/>
          <w:sz w:val="24"/>
        </w:rPr>
        <w:t>Cell.</w:t>
      </w:r>
      <w:r>
        <w:rPr>
          <w:rFonts w:ascii="Times New Roman" w:hAnsi="Times New Roman"/>
          <w:b w:val="0"/>
          <w:i w:val="0"/>
          <w:sz w:val="24"/>
        </w:rPr>
        <w:t xml:space="preserve"> 2017;171(6):1437-1452.e17. doi:10.1016/j.cell.2017.10.049</w:t>
      </w:r>
    </w:p>
    <w:p>
      <w:pPr>
        <w:ind w:left="283" w:hanging="283"/>
      </w:pPr>
      <w:r>
        <w:rPr>
          <w:rFonts w:ascii="Times New Roman" w:hAnsi="Times New Roman"/>
          <w:b w:val="0"/>
          <w:i w:val="0"/>
          <w:sz w:val="24"/>
        </w:rPr>
        <w:t xml:space="preserve">9. Lamb J, Crawford ED, Peck D, et al. The Connectivity Map: using gene-expression signatures to connect small molecules, genes, and disease. </w:t>
      </w:r>
      <w:r>
        <w:rPr>
          <w:rFonts w:ascii="Times New Roman" w:hAnsi="Times New Roman"/>
          <w:b w:val="0"/>
          <w:i/>
          <w:sz w:val="24"/>
        </w:rPr>
        <w:t>Science.</w:t>
      </w:r>
      <w:r>
        <w:rPr>
          <w:rFonts w:ascii="Times New Roman" w:hAnsi="Times New Roman"/>
          <w:b w:val="0"/>
          <w:i w:val="0"/>
          <w:sz w:val="24"/>
        </w:rPr>
        <w:t xml:space="preserve"> 2006;313(5795):1929-1935. doi:10.1126/science.1132939</w:t>
      </w:r>
    </w:p>
    <w:p>
      <w:pPr>
        <w:ind w:left="283" w:hanging="283"/>
      </w:pPr>
      <w:r>
        <w:rPr>
          <w:rFonts w:ascii="Times New Roman" w:hAnsi="Times New Roman"/>
          <w:b w:val="0"/>
          <w:i w:val="0"/>
          <w:sz w:val="24"/>
        </w:rPr>
        <w:t xml:space="preserve">10. Huang K, Lalagkas PN, Sultan B, et al. Exploiting similarity in drug molecular effects for drug repurposing. </w:t>
      </w:r>
      <w:r>
        <w:rPr>
          <w:rFonts w:ascii="Times New Roman" w:hAnsi="Times New Roman"/>
          <w:b w:val="0"/>
          <w:i/>
          <w:sz w:val="24"/>
        </w:rPr>
        <w:t>Hum Genomics.</w:t>
      </w:r>
      <w:r>
        <w:rPr>
          <w:rFonts w:ascii="Times New Roman" w:hAnsi="Times New Roman"/>
          <w:b w:val="0"/>
          <w:i w:val="0"/>
          <w:sz w:val="24"/>
        </w:rPr>
        <w:t xml:space="preserve"> 2025;19(1):110. doi:10.1186/s40246-025-00808-8</w:t>
      </w:r>
    </w:p>
    <w:p>
      <w:pPr>
        <w:ind w:left="283" w:hanging="283"/>
      </w:pPr>
      <w:r>
        <w:rPr>
          <w:rFonts w:ascii="Times New Roman" w:hAnsi="Times New Roman"/>
          <w:b w:val="0"/>
          <w:i w:val="0"/>
          <w:sz w:val="24"/>
        </w:rPr>
        <w:t xml:space="preserve">11. Foroutan M, Bhuva DD, Lyu R, et al. Single sample scoring of molecular phenotypes. </w:t>
      </w:r>
      <w:r>
        <w:rPr>
          <w:rFonts w:ascii="Times New Roman" w:hAnsi="Times New Roman"/>
          <w:b w:val="0"/>
          <w:i/>
          <w:sz w:val="24"/>
        </w:rPr>
        <w:t>BMC Bioinformatics.</w:t>
      </w:r>
      <w:r>
        <w:rPr>
          <w:rFonts w:ascii="Times New Roman" w:hAnsi="Times New Roman"/>
          <w:b w:val="0"/>
          <w:i w:val="0"/>
          <w:sz w:val="24"/>
        </w:rPr>
        <w:t xml:space="preserve"> 2018;19(1):404. doi:10.1186/s12859-018-2435-4</w:t>
      </w:r>
    </w:p>
    <w:p>
      <w:pPr>
        <w:ind w:left="283" w:hanging="283"/>
      </w:pPr>
      <w:r>
        <w:rPr>
          <w:rFonts w:ascii="Times New Roman" w:hAnsi="Times New Roman"/>
          <w:b w:val="0"/>
          <w:i w:val="0"/>
          <w:sz w:val="24"/>
        </w:rPr>
        <w:t xml:space="preserve">12. Foltz SM, Greene CS, Taroni JN, et al. Cross-platform normalization enables machine learning model training on microarray and RNA-seq data simultaneously. </w:t>
      </w:r>
      <w:r>
        <w:rPr>
          <w:rFonts w:ascii="Times New Roman" w:hAnsi="Times New Roman"/>
          <w:b w:val="0"/>
          <w:i/>
          <w:sz w:val="24"/>
        </w:rPr>
        <w:t>Commun Biol.</w:t>
      </w:r>
      <w:r>
        <w:rPr>
          <w:rFonts w:ascii="Times New Roman" w:hAnsi="Times New Roman"/>
          <w:b w:val="0"/>
          <w:i w:val="0"/>
          <w:sz w:val="24"/>
        </w:rPr>
        <w:t xml:space="preserve"> 2023;6(1):222. doi:10.1038/s42003-023-04588-6</w:t>
      </w:r>
    </w:p>
    <w:p>
      <w:pPr>
        <w:ind w:left="283" w:hanging="283"/>
      </w:pPr>
      <w:r>
        <w:rPr>
          <w:rFonts w:ascii="Times New Roman" w:hAnsi="Times New Roman"/>
          <w:b w:val="0"/>
          <w:i w:val="0"/>
          <w:sz w:val="24"/>
        </w:rPr>
        <w:t xml:space="preserve">13. Simon RM, Subramanian J, Li MC, Menezes S. Using cross-validation to evaluate predictive accuracy of survival risk classifiers based on high-dimensional data. </w:t>
      </w:r>
      <w:r>
        <w:rPr>
          <w:rFonts w:ascii="Times New Roman" w:hAnsi="Times New Roman"/>
          <w:b w:val="0"/>
          <w:i/>
          <w:sz w:val="24"/>
        </w:rPr>
        <w:t>Brief Bioinform.</w:t>
      </w:r>
      <w:r>
        <w:rPr>
          <w:rFonts w:ascii="Times New Roman" w:hAnsi="Times New Roman"/>
          <w:b w:val="0"/>
          <w:i w:val="0"/>
          <w:sz w:val="24"/>
        </w:rPr>
        <w:t xml:space="preserve"> 2011;12(3):203-214. doi:10.1093/bib/bbr001</w:t>
      </w:r>
    </w:p>
    <w:p>
      <w:pPr>
        <w:ind w:left="283" w:hanging="283"/>
      </w:pPr>
      <w:r>
        <w:rPr>
          <w:rFonts w:ascii="Times New Roman" w:hAnsi="Times New Roman"/>
          <w:b w:val="0"/>
          <w:i w:val="0"/>
          <w:sz w:val="24"/>
        </w:rPr>
        <w:t xml:space="preserve">14. Ambroise C, McLachlan GJ. Selection bias in gene extraction on the basis of microarray gene-expression data. </w:t>
      </w:r>
      <w:r>
        <w:rPr>
          <w:rFonts w:ascii="Times New Roman" w:hAnsi="Times New Roman"/>
          <w:b w:val="0"/>
          <w:i/>
          <w:sz w:val="24"/>
        </w:rPr>
        <w:t>Proc Natl Acad Sci U S A.</w:t>
      </w:r>
      <w:r>
        <w:rPr>
          <w:rFonts w:ascii="Times New Roman" w:hAnsi="Times New Roman"/>
          <w:b w:val="0"/>
          <w:i w:val="0"/>
          <w:sz w:val="24"/>
        </w:rPr>
        <w:t xml:space="preserve"> 2002;99(10):6562-6566. doi:10.1073/pnas.102102699</w:t>
      </w:r>
    </w:p>
    <w:p>
      <w:pPr>
        <w:ind w:left="283" w:hanging="283"/>
      </w:pPr>
      <w:r>
        <w:rPr>
          <w:rFonts w:ascii="Times New Roman" w:hAnsi="Times New Roman"/>
          <w:b w:val="0"/>
          <w:i w:val="0"/>
          <w:sz w:val="24"/>
        </w:rPr>
        <w:t xml:space="preserve">15. Lim N, Pavlidis P. Evaluation of connectivity map shows limited reproducibility in drug repositioning. </w:t>
      </w:r>
      <w:r>
        <w:rPr>
          <w:rFonts w:ascii="Times New Roman" w:hAnsi="Times New Roman"/>
          <w:b w:val="0"/>
          <w:i/>
          <w:sz w:val="24"/>
        </w:rPr>
        <w:t>Sci Rep.</w:t>
      </w:r>
      <w:r>
        <w:rPr>
          <w:rFonts w:ascii="Times New Roman" w:hAnsi="Times New Roman"/>
          <w:b w:val="0"/>
          <w:i w:val="0"/>
          <w:sz w:val="24"/>
        </w:rPr>
        <w:t xml:space="preserve"> 2021;11(1):17624. doi:10.1038/s41598-021-97005-z</w:t>
      </w:r>
    </w:p>
    <w:p>
      <w:pPr>
        <w:ind w:left="283" w:hanging="283"/>
      </w:pPr>
      <w:r>
        <w:rPr>
          <w:rFonts w:ascii="Times New Roman" w:hAnsi="Times New Roman"/>
          <w:b w:val="0"/>
          <w:i w:val="0"/>
          <w:sz w:val="24"/>
        </w:rPr>
        <w:t xml:space="preserve">16. Kuleshov MV, Jones MR, Rouillard AD, et al. Enrichr: a comprehensive gene-set enrichment analysis web server. </w:t>
      </w:r>
      <w:r>
        <w:rPr>
          <w:rFonts w:ascii="Times New Roman" w:hAnsi="Times New Roman"/>
          <w:b w:val="0"/>
          <w:i/>
          <w:sz w:val="24"/>
        </w:rPr>
        <w:t>Nucleic Acids Res.</w:t>
      </w:r>
      <w:r>
        <w:rPr>
          <w:rFonts w:ascii="Times New Roman" w:hAnsi="Times New Roman"/>
          <w:b w:val="0"/>
          <w:i w:val="0"/>
          <w:sz w:val="24"/>
        </w:rPr>
        <w:t xml:space="preserve"> 2016;44(W1):W90-W97. doi:10.1093/nar/gkw377</w:t>
      </w:r>
    </w:p>
    <w:p>
      <w:pPr>
        <w:ind w:left="283" w:hanging="283"/>
      </w:pPr>
      <w:r>
        <w:rPr>
          <w:rFonts w:ascii="Times New Roman" w:hAnsi="Times New Roman"/>
          <w:b w:val="0"/>
          <w:i w:val="0"/>
          <w:sz w:val="24"/>
        </w:rPr>
        <w:t xml:space="preserve">17. Wasserstein RL, Lazar NA. The ASA statement on p-values: context, process, and purpose. </w:t>
      </w:r>
      <w:r>
        <w:rPr>
          <w:rFonts w:ascii="Times New Roman" w:hAnsi="Times New Roman"/>
          <w:b w:val="0"/>
          <w:i/>
          <w:sz w:val="24"/>
        </w:rPr>
        <w:t>Am Stat.</w:t>
      </w:r>
      <w:r>
        <w:rPr>
          <w:rFonts w:ascii="Times New Roman" w:hAnsi="Times New Roman"/>
          <w:b w:val="0"/>
          <w:i w:val="0"/>
          <w:sz w:val="24"/>
        </w:rPr>
        <w:t xml:space="preserve"> 2016;70(2):129-133. doi:10.1080/00031305.2016.1154108</w:t>
      </w:r>
    </w:p>
    <w:p>
      <w:pPr>
        <w:ind w:left="283" w:hanging="283"/>
      </w:pPr>
      <w:r>
        <w:rPr>
          <w:rFonts w:ascii="Times New Roman" w:hAnsi="Times New Roman"/>
          <w:b w:val="0"/>
          <w:i w:val="0"/>
          <w:sz w:val="24"/>
        </w:rPr>
        <w:t xml:space="preserve">18. Lakens D. Calculating and reporting effect sizes to facilitate cumulative science. </w:t>
      </w:r>
      <w:r>
        <w:rPr>
          <w:rFonts w:ascii="Times New Roman" w:hAnsi="Times New Roman"/>
          <w:b w:val="0"/>
          <w:i/>
          <w:sz w:val="24"/>
        </w:rPr>
        <w:t>Front Psychol.</w:t>
      </w:r>
      <w:r>
        <w:rPr>
          <w:rFonts w:ascii="Times New Roman" w:hAnsi="Times New Roman"/>
          <w:b w:val="0"/>
          <w:i w:val="0"/>
          <w:sz w:val="24"/>
        </w:rPr>
        <w:t xml:space="preserve"> 2013;4:863. doi:10.3389/fpsyg.2013.00863</w:t>
      </w:r>
    </w:p>
    <w:p>
      <w:pPr>
        <w:ind w:left="283" w:hanging="283"/>
      </w:pPr>
      <w:r>
        <w:rPr>
          <w:rFonts w:ascii="Times New Roman" w:hAnsi="Times New Roman"/>
          <w:b w:val="0"/>
          <w:i w:val="0"/>
          <w:sz w:val="24"/>
        </w:rPr>
        <w:t xml:space="preserve">19. Iskar M, Zeller G, Blattmann P, et al. Characterization of drug-induced transcriptional modules: towards drug repositioning and functional understanding. </w:t>
      </w:r>
      <w:r>
        <w:rPr>
          <w:rFonts w:ascii="Times New Roman" w:hAnsi="Times New Roman"/>
          <w:b w:val="0"/>
          <w:i/>
          <w:sz w:val="24"/>
        </w:rPr>
        <w:t>Mol Syst Biol.</w:t>
      </w:r>
      <w:r>
        <w:rPr>
          <w:rFonts w:ascii="Times New Roman" w:hAnsi="Times New Roman"/>
          <w:b w:val="0"/>
          <w:i w:val="0"/>
          <w:sz w:val="24"/>
        </w:rPr>
        <w:t xml:space="preserve"> 2013;9:MSB201320. doi:10.1038/msb.2013.20</w:t>
      </w:r>
    </w:p>
    <w:p>
      <w:pPr>
        <w:ind w:left="283" w:hanging="283"/>
      </w:pPr>
      <w:r>
        <w:rPr>
          <w:rFonts w:ascii="Times New Roman" w:hAnsi="Times New Roman"/>
          <w:b w:val="0"/>
          <w:i w:val="0"/>
          <w:sz w:val="24"/>
        </w:rPr>
        <w:t xml:space="preserve">20. Warnakulasuriya S, Johnson NW, van der Waal I. Nomenclature and classification of potentially malignant disorders of the oral mucosa. </w:t>
      </w:r>
      <w:r>
        <w:rPr>
          <w:rFonts w:ascii="Times New Roman" w:hAnsi="Times New Roman"/>
          <w:b w:val="0"/>
          <w:i/>
          <w:sz w:val="24"/>
        </w:rPr>
        <w:t>J Oral Pathol Med.</w:t>
      </w:r>
      <w:r>
        <w:rPr>
          <w:rFonts w:ascii="Times New Roman" w:hAnsi="Times New Roman"/>
          <w:b w:val="0"/>
          <w:i w:val="0"/>
          <w:sz w:val="24"/>
        </w:rPr>
        <w:t xml:space="preserve"> 2007;36(10):575-580. doi:10.1111/j.1600-0714.2007.00582.x</w:t>
      </w:r>
    </w:p>
    <w:p>
      <w:pPr>
        <w:ind w:left="283" w:hanging="283"/>
      </w:pPr>
      <w:r>
        <w:rPr>
          <w:rFonts w:ascii="Times New Roman" w:hAnsi="Times New Roman"/>
          <w:b w:val="0"/>
          <w:i w:val="0"/>
          <w:sz w:val="24"/>
        </w:rPr>
        <w:t xml:space="preserve">21. Silverman S Jr, Gorsky M, Lozada F. Oral leukoplakia and malignant transformation. A follow-up study of 257 patients. </w:t>
      </w:r>
      <w:r>
        <w:rPr>
          <w:rFonts w:ascii="Times New Roman" w:hAnsi="Times New Roman"/>
          <w:b w:val="0"/>
          <w:i/>
          <w:sz w:val="24"/>
        </w:rPr>
        <w:t>Cancer.</w:t>
      </w:r>
      <w:r>
        <w:rPr>
          <w:rFonts w:ascii="Times New Roman" w:hAnsi="Times New Roman"/>
          <w:b w:val="0"/>
          <w:i w:val="0"/>
          <w:sz w:val="24"/>
        </w:rPr>
        <w:t xml:space="preserve"> 1984;53(3):563-568. doi:10.1002/1097-0142(19840201)53:3&lt;563::AID-CNCR2820530332&gt;3.0.CO;2-F</w:t>
      </w:r>
    </w:p>
    <w:p>
      <w:pPr>
        <w:ind w:left="283" w:hanging="283"/>
      </w:pPr>
      <w:r>
        <w:rPr>
          <w:rFonts w:ascii="Times New Roman" w:hAnsi="Times New Roman"/>
          <w:b w:val="0"/>
          <w:i w:val="0"/>
          <w:sz w:val="24"/>
        </w:rPr>
        <w:t xml:space="preserve">22. Mao L, Lee JS, Fan YH, et al. Frequent microsatellite alterations at chromosomes 9p21 and 3p14 in oral premalignant lesions and their value in cancer risk assessment. </w:t>
      </w:r>
      <w:r>
        <w:rPr>
          <w:rFonts w:ascii="Times New Roman" w:hAnsi="Times New Roman"/>
          <w:b w:val="0"/>
          <w:i/>
          <w:sz w:val="24"/>
        </w:rPr>
        <w:t>Nat Med.</w:t>
      </w:r>
      <w:r>
        <w:rPr>
          <w:rFonts w:ascii="Times New Roman" w:hAnsi="Times New Roman"/>
          <w:b w:val="0"/>
          <w:i w:val="0"/>
          <w:sz w:val="24"/>
        </w:rPr>
        <w:t xml:space="preserve"> 1996;2(6):682-685. doi:10.1038/nm0696-682</w:t>
      </w:r>
    </w:p>
    <w:p>
      <w:pPr>
        <w:ind w:left="283" w:hanging="283"/>
      </w:pPr>
      <w:r>
        <w:rPr>
          <w:rFonts w:ascii="Times New Roman" w:hAnsi="Times New Roman"/>
          <w:b w:val="0"/>
          <w:i w:val="0"/>
          <w:sz w:val="24"/>
        </w:rPr>
        <w:t xml:space="preserve">23. Bhosale PG, Cristea S, Ambatipudi S, Desai RS, Kumar A, Patil R, et al. Chromosomal alterations and gene expression changes associated with the progression of leukoplakia to advanced gingivobuccal cancer. </w:t>
      </w:r>
      <w:r>
        <w:rPr>
          <w:rFonts w:ascii="Times New Roman" w:hAnsi="Times New Roman"/>
          <w:b w:val="0"/>
          <w:i/>
          <w:sz w:val="24"/>
        </w:rPr>
        <w:t>Transl Oncol.</w:t>
      </w:r>
      <w:r>
        <w:rPr>
          <w:rFonts w:ascii="Times New Roman" w:hAnsi="Times New Roman"/>
          <w:b w:val="0"/>
          <w:i w:val="0"/>
          <w:sz w:val="24"/>
        </w:rPr>
        <w:t xml:space="preserve"> 2017;10(3):396-409. doi:10.1016/j.tranon.2017.03.008</w:t>
      </w:r>
    </w:p>
    <w:p>
      <w:pPr>
        <w:pStyle w:val="Heading1"/>
      </w:pPr>
      <w:r>
        <w:rPr>
          <w:rFonts w:ascii="Times New Roman" w:hAnsi="Times New Roman"/>
          <w:b/>
          <w:i w:val="0"/>
          <w:sz w:val="24"/>
        </w:rPr>
        <w:t>Figure Legends</w:t>
      </w:r>
    </w:p>
    <w:p>
      <w:r>
        <w:rPr>
          <w:rFonts w:ascii="Times New Roman" w:hAnsi="Times New Roman"/>
          <w:b/>
          <w:i w:val="0"/>
          <w:sz w:val="24"/>
        </w:rPr>
        <w:t>Figure 1.</w:t>
      </w:r>
      <w:r>
        <w:rPr>
          <w:rFonts w:ascii="Times New Roman" w:hAnsi="Times New Roman"/>
          <w:b w:val="0"/>
          <w:i w:val="0"/>
          <w:sz w:val="24"/>
        </w:rPr>
        <w:t xml:space="preserve"> (A) Severity-gradient validation of the direction-weighted progression-signature score in the independent RNA-seq cohort GSE227919 (n = 66): score versus histopathological severity (0 = Control, 1 = HkNR, 2 = Dysplasia, 3 = Cancer); grey line, linear fit. Spearman ρ = 0.473 (P = 5.99 × 10⁻⁵) across all samples and ρ = 0.356 (P = 0.007) after excluding the nine cancer cases (n = 57). (B) Single-cell UMAP of GSE196296 (28,543 cells, three PVL lesion blocks) coloured by per-cell progression-signature module score (within-gene z-score); between-block η² = 0.006 (Kruskal–Wallis P = 1.13 × 10⁻¹¹) indicates no lesion-level gradient.</w:t>
      </w:r>
    </w:p>
    <w:p>
      <w:r>
        <w:rPr>
          <w:rFonts w:ascii="Times New Roman" w:hAnsi="Times New Roman"/>
          <w:b/>
          <w:i w:val="0"/>
          <w:sz w:val="24"/>
        </w:rPr>
        <w:t>Figure 2.</w:t>
      </w:r>
      <w:r>
        <w:rPr>
          <w:rFonts w:ascii="Times New Roman" w:hAnsi="Times New Roman"/>
          <w:b w:val="0"/>
          <w:i w:val="0"/>
          <w:sz w:val="24"/>
        </w:rPr>
        <w:t xml:space="preserve"> LINCS L1000 two-direction reversal evidence for the eight candidate compounds (Table 1). Red cells, progression-up hub genes (TFRC, SPP1, SLC2A1, MET) down-regulated by the compound; blue cells, progression-low hub genes (ECM1, PDGFRA, IGFBP5, PTN) up-regulated. Compounds are grouped by tier (priority PI3K/mTOR versus exploratory CHK1/HDAC/JNK/multi-kinase).</w:t>
      </w:r>
    </w:p>
    <w:p>
      <w:r>
        <w:rPr>
          <w:rFonts w:ascii="Times New Roman" w:hAnsi="Times New Roman"/>
          <w:b/>
          <w:i w:val="0"/>
          <w:sz w:val="24"/>
        </w:rPr>
        <w:t>Figure 3.</w:t>
      </w:r>
      <w:r>
        <w:rPr>
          <w:rFonts w:ascii="Times New Roman" w:hAnsi="Times New Roman"/>
          <w:b w:val="0"/>
          <w:i w:val="0"/>
          <w:sz w:val="24"/>
        </w:rPr>
        <w:t xml:space="preserve"> Bulk GSE227919 cancer-versus-control Hallmark enrichment. The nine highest-ranked significant terms (adjusted P &lt; 0.05, by combined score) are shown together with PI3K-AKT-mTOR signalling, which ranks 24th of the 24 significant terms (adjusted P = 0.041) but is discussed in the text. Red bars denote the three pathways emphasised in the manuscript (mTORC1, PI3K-AKT-mTOR, EMT); labels show adjusted P-values.</w:t>
      </w:r>
    </w:p>
    <w:p>
      <w:r>
        <w:rPr>
          <w:rFonts w:ascii="Times New Roman" w:hAnsi="Times New Roman"/>
          <w:b/>
          <w:i w:val="0"/>
          <w:sz w:val="24"/>
        </w:rPr>
        <w:t>Figure 4.</w:t>
      </w:r>
      <w:r>
        <w:rPr>
          <w:rFonts w:ascii="Times New Roman" w:hAnsi="Times New Roman"/>
          <w:b w:val="0"/>
          <w:i w:val="0"/>
          <w:sz w:val="24"/>
        </w:rPr>
        <w:t xml:space="preserve"> Independent cross-sectional corroboration in the Agilent microarray cohort GSE85195 (gingivobuccal complex; 15 OPL, 34 OSCC, 1 normal), using the identical direction-weighted signature score (83/101 genes mapped). (A) ROC for OPL-versus-OSCC discrimination: AUC = 0.949 (95% CI 0.891–1.0). (B) Per-group boxplot of the signature score; the score is negative in OPL and positive in OSCC (ordinal OPL &lt; OSCC Spearman ρ = 0.717, P = 6.8 × 10⁻⁹; n = 49, excluding the single normal control). This is a cross-sectional state-discrimination result, not a prospective transformation-prediction result.</w:t>
      </w:r>
    </w:p>
    <w:p>
      <w:r>
        <w:rPr>
          <w:rFonts w:ascii="Times New Roman" w:hAnsi="Times New Roman"/>
          <w:b/>
          <w:i w:val="0"/>
          <w:sz w:val="24"/>
        </w:rPr>
        <w:t>Supplementary Figure S1.</w:t>
      </w:r>
      <w:r>
        <w:rPr>
          <w:rFonts w:ascii="Times New Roman" w:hAnsi="Times New Roman"/>
          <w:b w:val="0"/>
          <w:i w:val="0"/>
          <w:sz w:val="24"/>
        </w:rPr>
        <w:t xml:space="preserve"> Per-cluster progression-signature score in GSE196296 (28,543 cells, 24 seurat clusters). Bars show the mean per-cell direction-weighted score of each cluster, ranked high to low; blue denotes clusters significant versus the remaining cells after BH-FDR correction (all clusters reach FDR &lt; 0.05 at this sample size, so effect size is the interpretive axis). Clusters are ranked by mean per-cell score; the five highest mean-score clusters are 5, 13, 22, 23 and 15 (Cliff's δ = 0.43–0.89; ranking by Cliff's δ would instead place cluster 17 fourth).</w:t>
      </w:r>
    </w:p>
    <w:p>
      <w:pPr>
        <w:pStyle w:val="Heading1"/>
        <w:pageBreakBefore/>
      </w:pPr>
      <w:r>
        <w:rPr>
          <w:rFonts w:ascii="Times New Roman" w:hAnsi="Times New Roman"/>
          <w:b/>
          <w:i w:val="0"/>
          <w:sz w:val="24"/>
        </w:rPr>
        <w:t>Tables</w:t>
      </w:r>
    </w:p>
    <w:p>
      <w:r>
        <w:rPr>
          <w:rFonts w:ascii="Times New Roman" w:hAnsi="Times New Roman"/>
          <w:b/>
          <w:i w:val="0"/>
          <w:sz w:val="24"/>
        </w:rPr>
        <w:t>Table 1.</w:t>
      </w:r>
      <w:r>
        <w:rPr>
          <w:rFonts w:ascii="Times New Roman" w:hAnsi="Times New Roman"/>
          <w:b w:val="0"/>
          <w:i w:val="0"/>
          <w:sz w:val="24"/>
        </w:rPr>
        <w:t xml:space="preserve"> Eight LINCS L1000 two-direction reversal candidates. "Up-targets ↓" = number of progression-up signature genes significantly down-regulated by the compound; "Low-targets ↑" = number of progression-low genes significantly up-regulated; "Hub evidence" lists the hub genes (TFRC, SPP1, SLC2A1, MET / ECM1, PDGFRA, IGFBP5, PTN) with reversal evidence.</w:t>
      </w:r>
    </w:p>
    <w:tbl>
      <w:tblPr>
        <w:tblStyle w:val="TableGrid"/>
        <w:tblW w:type="auto" w:w="0"/>
        <w:jc w:val="left"/>
        <w:tblLayout w:type="fixed"/>
        <w:tblLook w:firstColumn="1" w:firstRow="1" w:lastColumn="0" w:lastRow="0" w:noHBand="0" w:noVBand="1" w:val="04A0"/>
        <w:tblInd w:w="51" w:type="dxa"/>
        <w:tblLayout w:type="fixed"/>
        <w:tblCellMar>
          <w:top w:w="0" w:type="dxa"/>
          <w:left w:w="51" w:type="dxa"/>
          <w:bottom w:w="0" w:type="dxa"/>
          <w:right w:w="51" w:type="dxa"/>
        </w:tblCellMar>
      </w:tblPr>
      <w:tblGrid>
        <w:gridCol w:w="1284"/>
        <w:gridCol w:w="1151"/>
        <w:gridCol w:w="1072"/>
        <w:gridCol w:w="1028"/>
        <w:gridCol w:w="1150"/>
        <w:gridCol w:w="902"/>
        <w:gridCol w:w="2388"/>
      </w:tblGrid>
      <w:tr>
        <w:trPr>
          <w:tblHeader w:val="true"/>
        </w:trPr>
        <w:tc>
          <w:tcPr>
            <w:tcW w:type="dxa" w:w="1284"/>
          </w:tcPr>
          <w:p>
            <w:pPr>
              <w:spacing w:line="240" w:lineRule="auto" w:before="40" w:after="40"/>
              <w:ind w:firstLine="0"/>
              <w:jc w:val="left"/>
            </w:pPr>
            <w:r>
              <w:rPr>
                <w:rFonts w:ascii="Times New Roman" w:hAnsi="Times New Roman"/>
                <w:b/>
                <w:i w:val="0"/>
                <w:sz w:val="20"/>
              </w:rPr>
              <w:t>Compound</w:t>
            </w:r>
          </w:p>
        </w:tc>
        <w:tc>
          <w:tcPr>
            <w:tcW w:type="dxa" w:w="1150"/>
          </w:tcPr>
          <w:p>
            <w:pPr>
              <w:spacing w:line="240" w:lineRule="auto" w:before="40" w:after="40"/>
              <w:ind w:firstLine="0"/>
              <w:jc w:val="left"/>
            </w:pPr>
            <w:r>
              <w:rPr>
                <w:rFonts w:ascii="Times New Roman" w:hAnsi="Times New Roman"/>
                <w:b/>
                <w:i w:val="0"/>
                <w:sz w:val="20"/>
              </w:rPr>
              <w:t>Target class</w:t>
            </w:r>
          </w:p>
        </w:tc>
        <w:tc>
          <w:tcPr>
            <w:tcW w:type="dxa" w:w="1072"/>
          </w:tcPr>
          <w:p>
            <w:pPr>
              <w:spacing w:line="240" w:lineRule="auto" w:before="40" w:after="40"/>
              <w:ind w:firstLine="0"/>
              <w:jc w:val="left"/>
            </w:pPr>
            <w:r>
              <w:rPr>
                <w:rFonts w:ascii="Times New Roman" w:hAnsi="Times New Roman"/>
                <w:b/>
                <w:i w:val="0"/>
                <w:sz w:val="20"/>
              </w:rPr>
              <w:t>Tier</w:t>
            </w:r>
          </w:p>
        </w:tc>
        <w:tc>
          <w:tcPr>
            <w:tcW w:type="dxa" w:w="1028"/>
          </w:tcPr>
          <w:p>
            <w:pPr>
              <w:spacing w:line="240" w:lineRule="auto" w:before="40" w:after="40"/>
              <w:ind w:firstLine="0"/>
              <w:jc w:val="left"/>
            </w:pPr>
            <w:r>
              <w:rPr>
                <w:rFonts w:ascii="Times New Roman" w:hAnsi="Times New Roman"/>
                <w:b/>
                <w:i w:val="0"/>
                <w:sz w:val="20"/>
              </w:rPr>
              <w:t>Up-targets ↓</w:t>
            </w:r>
          </w:p>
        </w:tc>
        <w:tc>
          <w:tcPr>
            <w:tcW w:type="dxa" w:w="1150"/>
          </w:tcPr>
          <w:p>
            <w:pPr>
              <w:spacing w:line="240" w:lineRule="auto" w:before="40" w:after="40"/>
              <w:ind w:firstLine="0"/>
              <w:jc w:val="left"/>
            </w:pPr>
            <w:r>
              <w:rPr>
                <w:rFonts w:ascii="Times New Roman" w:hAnsi="Times New Roman"/>
                <w:b/>
                <w:i w:val="0"/>
                <w:sz w:val="20"/>
              </w:rPr>
              <w:t>Low-targets ↑</w:t>
            </w:r>
          </w:p>
        </w:tc>
        <w:tc>
          <w:tcPr>
            <w:tcW w:type="dxa" w:w="902"/>
          </w:tcPr>
          <w:p>
            <w:pPr>
              <w:spacing w:line="240" w:lineRule="auto" w:before="40" w:after="40"/>
              <w:ind w:firstLine="0"/>
              <w:jc w:val="left"/>
            </w:pPr>
            <w:r>
              <w:rPr>
                <w:rFonts w:ascii="Times New Roman" w:hAnsi="Times New Roman"/>
                <w:b/>
                <w:i w:val="0"/>
                <w:sz w:val="20"/>
              </w:rPr>
              <w:t>Reversal score</w:t>
            </w:r>
          </w:p>
        </w:tc>
        <w:tc>
          <w:tcPr>
            <w:tcW w:type="dxa" w:w="2388"/>
          </w:tcPr>
          <w:p>
            <w:pPr>
              <w:spacing w:line="240" w:lineRule="auto" w:before="40" w:after="40"/>
              <w:ind w:firstLine="0"/>
              <w:jc w:val="left"/>
            </w:pPr>
            <w:r>
              <w:rPr>
                <w:rFonts w:ascii="Times New Roman" w:hAnsi="Times New Roman"/>
                <w:b/>
                <w:i w:val="0"/>
                <w:sz w:val="20"/>
              </w:rPr>
              <w:t>Hub-gene evidence</w:t>
            </w:r>
          </w:p>
        </w:tc>
      </w:tr>
      <w:tr>
        <w:tc>
          <w:tcPr>
            <w:tcW w:type="dxa" w:w="1284"/>
          </w:tcPr>
          <w:p>
            <w:pPr>
              <w:spacing w:line="240" w:lineRule="auto" w:before="40" w:after="40"/>
              <w:ind w:firstLine="0"/>
              <w:jc w:val="left"/>
            </w:pPr>
            <w:r>
              <w:rPr>
                <w:rFonts w:ascii="Times New Roman" w:hAnsi="Times New Roman"/>
                <w:b w:val="0"/>
                <w:i w:val="0"/>
                <w:sz w:val="20"/>
              </w:rPr>
              <w:t>ZSTK-474</w:t>
            </w:r>
          </w:p>
        </w:tc>
        <w:tc>
          <w:tcPr>
            <w:tcW w:type="dxa" w:w="1150"/>
          </w:tcPr>
          <w:p>
            <w:pPr>
              <w:spacing w:line="240" w:lineRule="auto" w:before="40" w:after="40"/>
              <w:ind w:firstLine="0"/>
              <w:jc w:val="left"/>
            </w:pPr>
            <w:r>
              <w:rPr>
                <w:rFonts w:ascii="Times New Roman" w:hAnsi="Times New Roman"/>
                <w:b w:val="0"/>
                <w:i w:val="0"/>
                <w:sz w:val="20"/>
              </w:rPr>
              <w:t>PI3K</w:t>
            </w:r>
          </w:p>
        </w:tc>
        <w:tc>
          <w:tcPr>
            <w:tcW w:type="dxa" w:w="1072"/>
          </w:tcPr>
          <w:p>
            <w:pPr>
              <w:spacing w:line="240" w:lineRule="auto" w:before="40" w:after="40"/>
              <w:ind w:firstLine="0"/>
              <w:jc w:val="left"/>
            </w:pPr>
            <w:r>
              <w:rPr>
                <w:rFonts w:ascii="Times New Roman" w:hAnsi="Times New Roman"/>
                <w:b w:val="0"/>
                <w:i w:val="0"/>
                <w:sz w:val="20"/>
              </w:rPr>
              <w:t>Priority</w:t>
            </w:r>
          </w:p>
        </w:tc>
        <w:tc>
          <w:tcPr>
            <w:tcW w:type="dxa" w:w="1028"/>
          </w:tcPr>
          <w:p>
            <w:pPr>
              <w:spacing w:line="240" w:lineRule="auto" w:before="40" w:after="40"/>
              <w:ind w:firstLine="0"/>
              <w:jc w:val="left"/>
            </w:pPr>
            <w:r>
              <w:rPr>
                <w:rFonts w:ascii="Times New Roman" w:hAnsi="Times New Roman"/>
                <w:b w:val="0"/>
                <w:i w:val="0"/>
                <w:sz w:val="20"/>
              </w:rPr>
              <w:t>3</w:t>
            </w:r>
          </w:p>
        </w:tc>
        <w:tc>
          <w:tcPr>
            <w:tcW w:type="dxa" w:w="1150"/>
          </w:tcPr>
          <w:p>
            <w:pPr>
              <w:spacing w:line="240" w:lineRule="auto" w:before="40" w:after="40"/>
              <w:ind w:firstLine="0"/>
              <w:jc w:val="left"/>
            </w:pPr>
            <w:r>
              <w:rPr>
                <w:rFonts w:ascii="Times New Roman" w:hAnsi="Times New Roman"/>
                <w:b w:val="0"/>
                <w:i w:val="0"/>
                <w:sz w:val="20"/>
              </w:rPr>
              <w:t>10</w:t>
            </w:r>
          </w:p>
        </w:tc>
        <w:tc>
          <w:tcPr>
            <w:tcW w:type="dxa" w:w="902"/>
          </w:tcPr>
          <w:p>
            <w:pPr>
              <w:spacing w:line="240" w:lineRule="auto" w:before="40" w:after="40"/>
              <w:ind w:firstLine="0"/>
              <w:jc w:val="left"/>
            </w:pPr>
            <w:r>
              <w:rPr>
                <w:rFonts w:ascii="Times New Roman" w:hAnsi="Times New Roman"/>
                <w:b w:val="0"/>
                <w:i w:val="0"/>
                <w:sz w:val="20"/>
              </w:rPr>
              <w:t>14.9</w:t>
            </w:r>
          </w:p>
        </w:tc>
        <w:tc>
          <w:tcPr>
            <w:tcW w:type="dxa" w:w="2388"/>
          </w:tcPr>
          <w:p>
            <w:pPr>
              <w:spacing w:line="240" w:lineRule="auto" w:before="40" w:after="40"/>
              <w:ind w:firstLine="0"/>
              <w:jc w:val="left"/>
            </w:pPr>
            <w:r>
              <w:rPr>
                <w:rFonts w:ascii="Times New Roman" w:hAnsi="Times New Roman"/>
                <w:b w:val="0"/>
                <w:i w:val="0"/>
                <w:sz w:val="20"/>
              </w:rPr>
              <w:t>TFRC, SLC2A1, PTN, PDGFRA, IGFBP5</w:t>
            </w:r>
          </w:p>
        </w:tc>
      </w:tr>
      <w:tr>
        <w:tc>
          <w:tcPr>
            <w:tcW w:type="dxa" w:w="1284"/>
          </w:tcPr>
          <w:p>
            <w:pPr>
              <w:spacing w:line="240" w:lineRule="auto" w:before="40" w:after="40"/>
              <w:ind w:firstLine="0"/>
              <w:jc w:val="left"/>
            </w:pPr>
            <w:r>
              <w:rPr>
                <w:rFonts w:ascii="Times New Roman" w:hAnsi="Times New Roman"/>
                <w:b w:val="0"/>
                <w:i w:val="0"/>
                <w:sz w:val="20"/>
              </w:rPr>
              <w:t>PF-477736</w:t>
            </w:r>
          </w:p>
        </w:tc>
        <w:tc>
          <w:tcPr>
            <w:tcW w:type="dxa" w:w="1150"/>
          </w:tcPr>
          <w:p>
            <w:pPr>
              <w:spacing w:line="240" w:lineRule="auto" w:before="40" w:after="40"/>
              <w:ind w:firstLine="0"/>
              <w:jc w:val="left"/>
            </w:pPr>
            <w:r>
              <w:rPr>
                <w:rFonts w:ascii="Times New Roman" w:hAnsi="Times New Roman"/>
                <w:b w:val="0"/>
                <w:i w:val="0"/>
                <w:sz w:val="20"/>
              </w:rPr>
              <w:t>CHK1</w:t>
            </w:r>
          </w:p>
        </w:tc>
        <w:tc>
          <w:tcPr>
            <w:tcW w:type="dxa" w:w="1072"/>
          </w:tcPr>
          <w:p>
            <w:pPr>
              <w:spacing w:line="240" w:lineRule="auto" w:before="40" w:after="40"/>
              <w:ind w:firstLine="0"/>
              <w:jc w:val="left"/>
            </w:pPr>
            <w:r>
              <w:rPr>
                <w:rFonts w:ascii="Times New Roman" w:hAnsi="Times New Roman"/>
                <w:b w:val="0"/>
                <w:i w:val="0"/>
                <w:sz w:val="20"/>
              </w:rPr>
              <w:t>Exploratory</w:t>
            </w:r>
          </w:p>
        </w:tc>
        <w:tc>
          <w:tcPr>
            <w:tcW w:type="dxa" w:w="1028"/>
          </w:tcPr>
          <w:p>
            <w:pPr>
              <w:spacing w:line="240" w:lineRule="auto" w:before="40" w:after="40"/>
              <w:ind w:firstLine="0"/>
              <w:jc w:val="left"/>
            </w:pPr>
            <w:r>
              <w:rPr>
                <w:rFonts w:ascii="Times New Roman" w:hAnsi="Times New Roman"/>
                <w:b w:val="0"/>
                <w:i w:val="0"/>
                <w:sz w:val="20"/>
              </w:rPr>
              <w:t>4</w:t>
            </w:r>
          </w:p>
        </w:tc>
        <w:tc>
          <w:tcPr>
            <w:tcW w:type="dxa" w:w="1150"/>
          </w:tcPr>
          <w:p>
            <w:pPr>
              <w:spacing w:line="240" w:lineRule="auto" w:before="40" w:after="40"/>
              <w:ind w:firstLine="0"/>
              <w:jc w:val="left"/>
            </w:pPr>
            <w:r>
              <w:rPr>
                <w:rFonts w:ascii="Times New Roman" w:hAnsi="Times New Roman"/>
                <w:b w:val="0"/>
                <w:i w:val="0"/>
                <w:sz w:val="20"/>
              </w:rPr>
              <w:t>11</w:t>
            </w:r>
          </w:p>
        </w:tc>
        <w:tc>
          <w:tcPr>
            <w:tcW w:type="dxa" w:w="902"/>
          </w:tcPr>
          <w:p>
            <w:pPr>
              <w:spacing w:line="240" w:lineRule="auto" w:before="40" w:after="40"/>
              <w:ind w:firstLine="0"/>
              <w:jc w:val="left"/>
            </w:pPr>
            <w:r>
              <w:rPr>
                <w:rFonts w:ascii="Times New Roman" w:hAnsi="Times New Roman"/>
                <w:b w:val="0"/>
                <w:i w:val="0"/>
                <w:sz w:val="20"/>
              </w:rPr>
              <w:t>11.6</w:t>
            </w:r>
          </w:p>
        </w:tc>
        <w:tc>
          <w:tcPr>
            <w:tcW w:type="dxa" w:w="2388"/>
          </w:tcPr>
          <w:p>
            <w:pPr>
              <w:spacing w:line="240" w:lineRule="auto" w:before="40" w:after="40"/>
              <w:ind w:firstLine="0"/>
              <w:jc w:val="left"/>
            </w:pPr>
            <w:r>
              <w:rPr>
                <w:rFonts w:ascii="Times New Roman" w:hAnsi="Times New Roman"/>
                <w:b w:val="0"/>
                <w:i w:val="0"/>
                <w:sz w:val="20"/>
              </w:rPr>
              <w:t>TFRC, SPP1, MET, PTN, IGFBP5</w:t>
            </w:r>
          </w:p>
        </w:tc>
      </w:tr>
      <w:tr>
        <w:tc>
          <w:tcPr>
            <w:tcW w:type="dxa" w:w="1284"/>
          </w:tcPr>
          <w:p>
            <w:pPr>
              <w:spacing w:line="240" w:lineRule="auto" w:before="40" w:after="40"/>
              <w:ind w:firstLine="0"/>
              <w:jc w:val="left"/>
            </w:pPr>
            <w:r>
              <w:rPr>
                <w:rFonts w:ascii="Times New Roman" w:hAnsi="Times New Roman"/>
                <w:b w:val="0"/>
                <w:i w:val="0"/>
                <w:sz w:val="20"/>
              </w:rPr>
              <w:t>AZD-7762</w:t>
            </w:r>
          </w:p>
        </w:tc>
        <w:tc>
          <w:tcPr>
            <w:tcW w:type="dxa" w:w="1150"/>
          </w:tcPr>
          <w:p>
            <w:pPr>
              <w:spacing w:line="240" w:lineRule="auto" w:before="40" w:after="40"/>
              <w:ind w:firstLine="0"/>
              <w:jc w:val="left"/>
            </w:pPr>
            <w:r>
              <w:rPr>
                <w:rFonts w:ascii="Times New Roman" w:hAnsi="Times New Roman"/>
                <w:b w:val="0"/>
                <w:i w:val="0"/>
                <w:sz w:val="20"/>
              </w:rPr>
              <w:t>CHK1</w:t>
            </w:r>
          </w:p>
        </w:tc>
        <w:tc>
          <w:tcPr>
            <w:tcW w:type="dxa" w:w="1072"/>
          </w:tcPr>
          <w:p>
            <w:pPr>
              <w:spacing w:line="240" w:lineRule="auto" w:before="40" w:after="40"/>
              <w:ind w:firstLine="0"/>
              <w:jc w:val="left"/>
            </w:pPr>
            <w:r>
              <w:rPr>
                <w:rFonts w:ascii="Times New Roman" w:hAnsi="Times New Roman"/>
                <w:b w:val="0"/>
                <w:i w:val="0"/>
                <w:sz w:val="20"/>
              </w:rPr>
              <w:t>Exploratory</w:t>
            </w:r>
          </w:p>
        </w:tc>
        <w:tc>
          <w:tcPr>
            <w:tcW w:type="dxa" w:w="1028"/>
          </w:tcPr>
          <w:p>
            <w:pPr>
              <w:spacing w:line="240" w:lineRule="auto" w:before="40" w:after="40"/>
              <w:ind w:firstLine="0"/>
              <w:jc w:val="left"/>
            </w:pPr>
            <w:r>
              <w:rPr>
                <w:rFonts w:ascii="Times New Roman" w:hAnsi="Times New Roman"/>
                <w:b w:val="0"/>
                <w:i w:val="0"/>
                <w:sz w:val="20"/>
              </w:rPr>
              <w:t>3</w:t>
            </w:r>
          </w:p>
        </w:tc>
        <w:tc>
          <w:tcPr>
            <w:tcW w:type="dxa" w:w="1150"/>
          </w:tcPr>
          <w:p>
            <w:pPr>
              <w:spacing w:line="240" w:lineRule="auto" w:before="40" w:after="40"/>
              <w:ind w:firstLine="0"/>
              <w:jc w:val="left"/>
            </w:pPr>
            <w:r>
              <w:rPr>
                <w:rFonts w:ascii="Times New Roman" w:hAnsi="Times New Roman"/>
                <w:b w:val="0"/>
                <w:i w:val="0"/>
                <w:sz w:val="20"/>
              </w:rPr>
              <w:t>14</w:t>
            </w:r>
          </w:p>
        </w:tc>
        <w:tc>
          <w:tcPr>
            <w:tcW w:type="dxa" w:w="902"/>
          </w:tcPr>
          <w:p>
            <w:pPr>
              <w:spacing w:line="240" w:lineRule="auto" w:before="40" w:after="40"/>
              <w:ind w:firstLine="0"/>
              <w:jc w:val="left"/>
            </w:pPr>
            <w:r>
              <w:rPr>
                <w:rFonts w:ascii="Times New Roman" w:hAnsi="Times New Roman"/>
                <w:b w:val="0"/>
                <w:i w:val="0"/>
                <w:sz w:val="20"/>
              </w:rPr>
              <w:t>11.5</w:t>
            </w:r>
          </w:p>
        </w:tc>
        <w:tc>
          <w:tcPr>
            <w:tcW w:type="dxa" w:w="2388"/>
          </w:tcPr>
          <w:p>
            <w:pPr>
              <w:spacing w:line="240" w:lineRule="auto" w:before="40" w:after="40"/>
              <w:ind w:firstLine="0"/>
              <w:jc w:val="left"/>
            </w:pPr>
            <w:r>
              <w:rPr>
                <w:rFonts w:ascii="Times New Roman" w:hAnsi="Times New Roman"/>
                <w:b w:val="0"/>
                <w:i w:val="0"/>
                <w:sz w:val="20"/>
              </w:rPr>
              <w:t>TFRC, SPP1, PDGFRA, PTN, ECM1</w:t>
            </w:r>
          </w:p>
        </w:tc>
      </w:tr>
      <w:tr>
        <w:tc>
          <w:tcPr>
            <w:tcW w:type="dxa" w:w="1284"/>
          </w:tcPr>
          <w:p>
            <w:pPr>
              <w:spacing w:line="240" w:lineRule="auto" w:before="40" w:after="40"/>
              <w:ind w:firstLine="0"/>
              <w:jc w:val="left"/>
            </w:pPr>
            <w:r>
              <w:rPr>
                <w:rFonts w:ascii="Times New Roman" w:hAnsi="Times New Roman"/>
                <w:b w:val="0"/>
                <w:i w:val="0"/>
                <w:sz w:val="20"/>
              </w:rPr>
              <w:t>HG-6-64-01</w:t>
            </w:r>
          </w:p>
        </w:tc>
        <w:tc>
          <w:tcPr>
            <w:tcW w:type="dxa" w:w="1150"/>
          </w:tcPr>
          <w:p>
            <w:pPr>
              <w:spacing w:line="240" w:lineRule="auto" w:before="40" w:after="40"/>
              <w:ind w:firstLine="0"/>
              <w:jc w:val="left"/>
            </w:pPr>
            <w:r>
              <w:rPr>
                <w:rFonts w:ascii="Times New Roman" w:hAnsi="Times New Roman"/>
                <w:b w:val="0"/>
                <w:i w:val="0"/>
                <w:sz w:val="20"/>
              </w:rPr>
              <w:t>HDAC</w:t>
            </w:r>
          </w:p>
        </w:tc>
        <w:tc>
          <w:tcPr>
            <w:tcW w:type="dxa" w:w="1072"/>
          </w:tcPr>
          <w:p>
            <w:pPr>
              <w:spacing w:line="240" w:lineRule="auto" w:before="40" w:after="40"/>
              <w:ind w:firstLine="0"/>
              <w:jc w:val="left"/>
            </w:pPr>
            <w:r>
              <w:rPr>
                <w:rFonts w:ascii="Times New Roman" w:hAnsi="Times New Roman"/>
                <w:b w:val="0"/>
                <w:i w:val="0"/>
                <w:sz w:val="20"/>
              </w:rPr>
              <w:t>Exploratory</w:t>
            </w:r>
          </w:p>
        </w:tc>
        <w:tc>
          <w:tcPr>
            <w:tcW w:type="dxa" w:w="1028"/>
          </w:tcPr>
          <w:p>
            <w:pPr>
              <w:spacing w:line="240" w:lineRule="auto" w:before="40" w:after="40"/>
              <w:ind w:firstLine="0"/>
              <w:jc w:val="left"/>
            </w:pPr>
            <w:r>
              <w:rPr>
                <w:rFonts w:ascii="Times New Roman" w:hAnsi="Times New Roman"/>
                <w:b w:val="0"/>
                <w:i w:val="0"/>
                <w:sz w:val="20"/>
              </w:rPr>
              <w:t>3</w:t>
            </w:r>
          </w:p>
        </w:tc>
        <w:tc>
          <w:tcPr>
            <w:tcW w:type="dxa" w:w="1150"/>
          </w:tcPr>
          <w:p>
            <w:pPr>
              <w:spacing w:line="240" w:lineRule="auto" w:before="40" w:after="40"/>
              <w:ind w:firstLine="0"/>
              <w:jc w:val="left"/>
            </w:pPr>
            <w:r>
              <w:rPr>
                <w:rFonts w:ascii="Times New Roman" w:hAnsi="Times New Roman"/>
                <w:b w:val="0"/>
                <w:i w:val="0"/>
                <w:sz w:val="20"/>
              </w:rPr>
              <w:t>11</w:t>
            </w:r>
          </w:p>
        </w:tc>
        <w:tc>
          <w:tcPr>
            <w:tcW w:type="dxa" w:w="902"/>
          </w:tcPr>
          <w:p>
            <w:pPr>
              <w:spacing w:line="240" w:lineRule="auto" w:before="40" w:after="40"/>
              <w:ind w:firstLine="0"/>
              <w:jc w:val="left"/>
            </w:pPr>
            <w:r>
              <w:rPr>
                <w:rFonts w:ascii="Times New Roman" w:hAnsi="Times New Roman"/>
                <w:b w:val="0"/>
                <w:i w:val="0"/>
                <w:sz w:val="20"/>
              </w:rPr>
              <w:t>10.7</w:t>
            </w:r>
          </w:p>
        </w:tc>
        <w:tc>
          <w:tcPr>
            <w:tcW w:type="dxa" w:w="2388"/>
          </w:tcPr>
          <w:p>
            <w:pPr>
              <w:spacing w:line="240" w:lineRule="auto" w:before="40" w:after="40"/>
              <w:ind w:firstLine="0"/>
              <w:jc w:val="left"/>
            </w:pPr>
            <w:r>
              <w:rPr>
                <w:rFonts w:ascii="Times New Roman" w:hAnsi="Times New Roman"/>
                <w:b w:val="0"/>
                <w:i w:val="0"/>
                <w:sz w:val="20"/>
              </w:rPr>
              <w:t>SLC2A1, PTN, IGFBP5</w:t>
            </w:r>
          </w:p>
        </w:tc>
      </w:tr>
      <w:tr>
        <w:tc>
          <w:tcPr>
            <w:tcW w:type="dxa" w:w="1284"/>
          </w:tcPr>
          <w:p>
            <w:pPr>
              <w:spacing w:line="240" w:lineRule="auto" w:before="40" w:after="40"/>
              <w:ind w:firstLine="0"/>
              <w:jc w:val="left"/>
            </w:pPr>
            <w:r>
              <w:rPr>
                <w:rFonts w:ascii="Times New Roman" w:hAnsi="Times New Roman"/>
                <w:b w:val="0"/>
                <w:i w:val="0"/>
                <w:sz w:val="20"/>
              </w:rPr>
              <w:t>GSK-1059615</w:t>
            </w:r>
          </w:p>
        </w:tc>
        <w:tc>
          <w:tcPr>
            <w:tcW w:type="dxa" w:w="1150"/>
          </w:tcPr>
          <w:p>
            <w:pPr>
              <w:spacing w:line="240" w:lineRule="auto" w:before="40" w:after="40"/>
              <w:ind w:firstLine="0"/>
              <w:jc w:val="left"/>
            </w:pPr>
            <w:r>
              <w:rPr>
                <w:rFonts w:ascii="Times New Roman" w:hAnsi="Times New Roman"/>
                <w:b w:val="0"/>
                <w:i w:val="0"/>
                <w:sz w:val="20"/>
              </w:rPr>
              <w:t>PI3K/mTOR</w:t>
            </w:r>
          </w:p>
        </w:tc>
        <w:tc>
          <w:tcPr>
            <w:tcW w:type="dxa" w:w="1072"/>
          </w:tcPr>
          <w:p>
            <w:pPr>
              <w:spacing w:line="240" w:lineRule="auto" w:before="40" w:after="40"/>
              <w:ind w:firstLine="0"/>
              <w:jc w:val="left"/>
            </w:pPr>
            <w:r>
              <w:rPr>
                <w:rFonts w:ascii="Times New Roman" w:hAnsi="Times New Roman"/>
                <w:b w:val="0"/>
                <w:i w:val="0"/>
                <w:sz w:val="20"/>
              </w:rPr>
              <w:t>Priority</w:t>
            </w:r>
          </w:p>
        </w:tc>
        <w:tc>
          <w:tcPr>
            <w:tcW w:type="dxa" w:w="1028"/>
          </w:tcPr>
          <w:p>
            <w:pPr>
              <w:spacing w:line="240" w:lineRule="auto" w:before="40" w:after="40"/>
              <w:ind w:firstLine="0"/>
              <w:jc w:val="left"/>
            </w:pPr>
            <w:r>
              <w:rPr>
                <w:rFonts w:ascii="Times New Roman" w:hAnsi="Times New Roman"/>
                <w:b w:val="0"/>
                <w:i w:val="0"/>
                <w:sz w:val="20"/>
              </w:rPr>
              <w:t>3</w:t>
            </w:r>
          </w:p>
        </w:tc>
        <w:tc>
          <w:tcPr>
            <w:tcW w:type="dxa" w:w="1150"/>
          </w:tcPr>
          <w:p>
            <w:pPr>
              <w:spacing w:line="240" w:lineRule="auto" w:before="40" w:after="40"/>
              <w:ind w:firstLine="0"/>
              <w:jc w:val="left"/>
            </w:pPr>
            <w:r>
              <w:rPr>
                <w:rFonts w:ascii="Times New Roman" w:hAnsi="Times New Roman"/>
                <w:b w:val="0"/>
                <w:i w:val="0"/>
                <w:sz w:val="20"/>
              </w:rPr>
              <w:t>8</w:t>
            </w:r>
          </w:p>
        </w:tc>
        <w:tc>
          <w:tcPr>
            <w:tcW w:type="dxa" w:w="902"/>
          </w:tcPr>
          <w:p>
            <w:pPr>
              <w:spacing w:line="240" w:lineRule="auto" w:before="40" w:after="40"/>
              <w:ind w:firstLine="0"/>
              <w:jc w:val="left"/>
            </w:pPr>
            <w:r>
              <w:rPr>
                <w:rFonts w:ascii="Times New Roman" w:hAnsi="Times New Roman"/>
                <w:b w:val="0"/>
                <w:i w:val="0"/>
                <w:sz w:val="20"/>
              </w:rPr>
              <w:t>9.0</w:t>
            </w:r>
          </w:p>
        </w:tc>
        <w:tc>
          <w:tcPr>
            <w:tcW w:type="dxa" w:w="2388"/>
          </w:tcPr>
          <w:p>
            <w:pPr>
              <w:spacing w:line="240" w:lineRule="auto" w:before="40" w:after="40"/>
              <w:ind w:firstLine="0"/>
              <w:jc w:val="left"/>
            </w:pPr>
            <w:r>
              <w:rPr>
                <w:rFonts w:ascii="Times New Roman" w:hAnsi="Times New Roman"/>
                <w:b w:val="0"/>
                <w:i w:val="0"/>
                <w:sz w:val="20"/>
              </w:rPr>
              <w:t>TFRC, SLC2A1, SPP1, PTN</w:t>
            </w:r>
          </w:p>
        </w:tc>
      </w:tr>
      <w:tr>
        <w:tc>
          <w:tcPr>
            <w:tcW w:type="dxa" w:w="1284"/>
          </w:tcPr>
          <w:p>
            <w:pPr>
              <w:spacing w:line="240" w:lineRule="auto" w:before="40" w:after="40"/>
              <w:ind w:firstLine="0"/>
              <w:jc w:val="left"/>
            </w:pPr>
            <w:r>
              <w:rPr>
                <w:rFonts w:ascii="Times New Roman" w:hAnsi="Times New Roman"/>
                <w:b w:val="0"/>
                <w:i w:val="0"/>
                <w:sz w:val="20"/>
              </w:rPr>
              <w:t>AS-601245</w:t>
            </w:r>
          </w:p>
        </w:tc>
        <w:tc>
          <w:tcPr>
            <w:tcW w:type="dxa" w:w="1150"/>
          </w:tcPr>
          <w:p>
            <w:pPr>
              <w:spacing w:line="240" w:lineRule="auto" w:before="40" w:after="40"/>
              <w:ind w:firstLine="0"/>
              <w:jc w:val="left"/>
            </w:pPr>
            <w:r>
              <w:rPr>
                <w:rFonts w:ascii="Times New Roman" w:hAnsi="Times New Roman"/>
                <w:b w:val="0"/>
                <w:i w:val="0"/>
                <w:sz w:val="20"/>
              </w:rPr>
              <w:t>JNK</w:t>
            </w:r>
          </w:p>
        </w:tc>
        <w:tc>
          <w:tcPr>
            <w:tcW w:type="dxa" w:w="1072"/>
          </w:tcPr>
          <w:p>
            <w:pPr>
              <w:spacing w:line="240" w:lineRule="auto" w:before="40" w:after="40"/>
              <w:ind w:firstLine="0"/>
              <w:jc w:val="left"/>
            </w:pPr>
            <w:r>
              <w:rPr>
                <w:rFonts w:ascii="Times New Roman" w:hAnsi="Times New Roman"/>
                <w:b w:val="0"/>
                <w:i w:val="0"/>
                <w:sz w:val="20"/>
              </w:rPr>
              <w:t>Exploratory</w:t>
            </w:r>
          </w:p>
        </w:tc>
        <w:tc>
          <w:tcPr>
            <w:tcW w:type="dxa" w:w="1028"/>
          </w:tcPr>
          <w:p>
            <w:pPr>
              <w:spacing w:line="240" w:lineRule="auto" w:before="40" w:after="40"/>
              <w:ind w:firstLine="0"/>
              <w:jc w:val="left"/>
            </w:pPr>
            <w:r>
              <w:rPr>
                <w:rFonts w:ascii="Times New Roman" w:hAnsi="Times New Roman"/>
                <w:b w:val="0"/>
                <w:i w:val="0"/>
                <w:sz w:val="20"/>
              </w:rPr>
              <w:t>3</w:t>
            </w:r>
          </w:p>
        </w:tc>
        <w:tc>
          <w:tcPr>
            <w:tcW w:type="dxa" w:w="1150"/>
          </w:tcPr>
          <w:p>
            <w:pPr>
              <w:spacing w:line="240" w:lineRule="auto" w:before="40" w:after="40"/>
              <w:ind w:firstLine="0"/>
              <w:jc w:val="left"/>
            </w:pPr>
            <w:r>
              <w:rPr>
                <w:rFonts w:ascii="Times New Roman" w:hAnsi="Times New Roman"/>
                <w:b w:val="0"/>
                <w:i w:val="0"/>
                <w:sz w:val="20"/>
              </w:rPr>
              <w:t>5</w:t>
            </w:r>
          </w:p>
        </w:tc>
        <w:tc>
          <w:tcPr>
            <w:tcW w:type="dxa" w:w="902"/>
          </w:tcPr>
          <w:p>
            <w:pPr>
              <w:spacing w:line="240" w:lineRule="auto" w:before="40" w:after="40"/>
              <w:ind w:firstLine="0"/>
              <w:jc w:val="left"/>
            </w:pPr>
            <w:r>
              <w:rPr>
                <w:rFonts w:ascii="Times New Roman" w:hAnsi="Times New Roman"/>
                <w:b w:val="0"/>
                <w:i w:val="0"/>
                <w:sz w:val="20"/>
              </w:rPr>
              <w:t>6.5</w:t>
            </w:r>
          </w:p>
        </w:tc>
        <w:tc>
          <w:tcPr>
            <w:tcW w:type="dxa" w:w="2388"/>
          </w:tcPr>
          <w:p>
            <w:pPr>
              <w:spacing w:line="240" w:lineRule="auto" w:before="40" w:after="40"/>
              <w:ind w:firstLine="0"/>
              <w:jc w:val="left"/>
            </w:pPr>
            <w:r>
              <w:rPr>
                <w:rFonts w:ascii="Times New Roman" w:hAnsi="Times New Roman"/>
                <w:b w:val="0"/>
                <w:i w:val="0"/>
                <w:sz w:val="20"/>
              </w:rPr>
              <w:t>TFRC, SPP1, MET, PDGFRA</w:t>
            </w:r>
          </w:p>
        </w:tc>
      </w:tr>
      <w:tr>
        <w:tc>
          <w:tcPr>
            <w:tcW w:type="dxa" w:w="1284"/>
          </w:tcPr>
          <w:p>
            <w:pPr>
              <w:spacing w:line="240" w:lineRule="auto" w:before="40" w:after="40"/>
              <w:ind w:firstLine="0"/>
              <w:jc w:val="left"/>
            </w:pPr>
            <w:r>
              <w:rPr>
                <w:rFonts w:ascii="Times New Roman" w:hAnsi="Times New Roman"/>
                <w:b w:val="0"/>
                <w:i w:val="0"/>
                <w:sz w:val="20"/>
              </w:rPr>
              <w:t>torin-1</w:t>
            </w:r>
          </w:p>
        </w:tc>
        <w:tc>
          <w:tcPr>
            <w:tcW w:type="dxa" w:w="1150"/>
          </w:tcPr>
          <w:p>
            <w:pPr>
              <w:spacing w:line="240" w:lineRule="auto" w:before="40" w:after="40"/>
              <w:ind w:firstLine="0"/>
              <w:jc w:val="left"/>
            </w:pPr>
            <w:r>
              <w:rPr>
                <w:rFonts w:ascii="Times New Roman" w:hAnsi="Times New Roman"/>
                <w:b w:val="0"/>
                <w:i w:val="0"/>
                <w:sz w:val="20"/>
              </w:rPr>
              <w:t>mTOR</w:t>
            </w:r>
          </w:p>
        </w:tc>
        <w:tc>
          <w:tcPr>
            <w:tcW w:type="dxa" w:w="1072"/>
          </w:tcPr>
          <w:p>
            <w:pPr>
              <w:spacing w:line="240" w:lineRule="auto" w:before="40" w:after="40"/>
              <w:ind w:firstLine="0"/>
              <w:jc w:val="left"/>
            </w:pPr>
            <w:r>
              <w:rPr>
                <w:rFonts w:ascii="Times New Roman" w:hAnsi="Times New Roman"/>
                <w:b w:val="0"/>
                <w:i w:val="0"/>
                <w:sz w:val="20"/>
              </w:rPr>
              <w:t>Priority</w:t>
            </w:r>
          </w:p>
        </w:tc>
        <w:tc>
          <w:tcPr>
            <w:tcW w:type="dxa" w:w="1028"/>
          </w:tcPr>
          <w:p>
            <w:pPr>
              <w:spacing w:line="240" w:lineRule="auto" w:before="40" w:after="40"/>
              <w:ind w:firstLine="0"/>
              <w:jc w:val="left"/>
            </w:pPr>
            <w:r>
              <w:rPr>
                <w:rFonts w:ascii="Times New Roman" w:hAnsi="Times New Roman"/>
                <w:b w:val="0"/>
                <w:i w:val="0"/>
                <w:sz w:val="20"/>
              </w:rPr>
              <w:t>3</w:t>
            </w:r>
          </w:p>
        </w:tc>
        <w:tc>
          <w:tcPr>
            <w:tcW w:type="dxa" w:w="1150"/>
          </w:tcPr>
          <w:p>
            <w:pPr>
              <w:spacing w:line="240" w:lineRule="auto" w:before="40" w:after="40"/>
              <w:ind w:firstLine="0"/>
              <w:jc w:val="left"/>
            </w:pPr>
            <w:r>
              <w:rPr>
                <w:rFonts w:ascii="Times New Roman" w:hAnsi="Times New Roman"/>
                <w:b w:val="0"/>
                <w:i w:val="0"/>
                <w:sz w:val="20"/>
              </w:rPr>
              <w:t>5</w:t>
            </w:r>
          </w:p>
        </w:tc>
        <w:tc>
          <w:tcPr>
            <w:tcW w:type="dxa" w:w="902"/>
          </w:tcPr>
          <w:p>
            <w:pPr>
              <w:spacing w:line="240" w:lineRule="auto" w:before="40" w:after="40"/>
              <w:ind w:firstLine="0"/>
              <w:jc w:val="left"/>
            </w:pPr>
            <w:r>
              <w:rPr>
                <w:rFonts w:ascii="Times New Roman" w:hAnsi="Times New Roman"/>
                <w:b w:val="0"/>
                <w:i w:val="0"/>
                <w:sz w:val="20"/>
              </w:rPr>
              <w:t>5.4</w:t>
            </w:r>
          </w:p>
        </w:tc>
        <w:tc>
          <w:tcPr>
            <w:tcW w:type="dxa" w:w="2388"/>
          </w:tcPr>
          <w:p>
            <w:pPr>
              <w:spacing w:line="240" w:lineRule="auto" w:before="40" w:after="40"/>
              <w:ind w:firstLine="0"/>
              <w:jc w:val="left"/>
            </w:pPr>
            <w:r>
              <w:rPr>
                <w:rFonts w:ascii="Times New Roman" w:hAnsi="Times New Roman"/>
                <w:b w:val="0"/>
                <w:i w:val="0"/>
                <w:sz w:val="20"/>
              </w:rPr>
              <w:t>SPP1</w:t>
            </w:r>
          </w:p>
        </w:tc>
      </w:tr>
      <w:tr>
        <w:tc>
          <w:tcPr>
            <w:tcW w:type="dxa" w:w="1284"/>
          </w:tcPr>
          <w:p>
            <w:pPr>
              <w:spacing w:line="240" w:lineRule="auto" w:before="40" w:after="40"/>
              <w:ind w:firstLine="0"/>
              <w:jc w:val="left"/>
            </w:pPr>
            <w:r>
              <w:rPr>
                <w:rFonts w:ascii="Times New Roman" w:hAnsi="Times New Roman"/>
                <w:b w:val="0"/>
                <w:i w:val="0"/>
                <w:sz w:val="20"/>
              </w:rPr>
              <w:t>sorafenib</w:t>
            </w:r>
          </w:p>
        </w:tc>
        <w:tc>
          <w:tcPr>
            <w:tcW w:type="dxa" w:w="1150"/>
          </w:tcPr>
          <w:p>
            <w:pPr>
              <w:spacing w:line="240" w:lineRule="auto" w:before="40" w:after="40"/>
              <w:ind w:firstLine="0"/>
              <w:jc w:val="left"/>
            </w:pPr>
            <w:r>
              <w:rPr>
                <w:rFonts w:ascii="Times New Roman" w:hAnsi="Times New Roman"/>
                <w:b w:val="0"/>
                <w:i w:val="0"/>
                <w:sz w:val="20"/>
              </w:rPr>
              <w:t>Multi-kinase</w:t>
            </w:r>
          </w:p>
        </w:tc>
        <w:tc>
          <w:tcPr>
            <w:tcW w:type="dxa" w:w="1072"/>
          </w:tcPr>
          <w:p>
            <w:pPr>
              <w:spacing w:line="240" w:lineRule="auto" w:before="40" w:after="40"/>
              <w:ind w:firstLine="0"/>
              <w:jc w:val="left"/>
            </w:pPr>
            <w:r>
              <w:rPr>
                <w:rFonts w:ascii="Times New Roman" w:hAnsi="Times New Roman"/>
                <w:b w:val="0"/>
                <w:i w:val="0"/>
                <w:sz w:val="20"/>
              </w:rPr>
              <w:t>Exploratory</w:t>
            </w:r>
          </w:p>
        </w:tc>
        <w:tc>
          <w:tcPr>
            <w:tcW w:type="dxa" w:w="1028"/>
          </w:tcPr>
          <w:p>
            <w:pPr>
              <w:spacing w:line="240" w:lineRule="auto" w:before="40" w:after="40"/>
              <w:ind w:firstLine="0"/>
              <w:jc w:val="left"/>
            </w:pPr>
            <w:r>
              <w:rPr>
                <w:rFonts w:ascii="Times New Roman" w:hAnsi="Times New Roman"/>
                <w:b w:val="0"/>
                <w:i w:val="0"/>
                <w:sz w:val="20"/>
              </w:rPr>
              <w:t>3</w:t>
            </w:r>
          </w:p>
        </w:tc>
        <w:tc>
          <w:tcPr>
            <w:tcW w:type="dxa" w:w="1150"/>
          </w:tcPr>
          <w:p>
            <w:pPr>
              <w:spacing w:line="240" w:lineRule="auto" w:before="40" w:after="40"/>
              <w:ind w:firstLine="0"/>
              <w:jc w:val="left"/>
            </w:pPr>
            <w:r>
              <w:rPr>
                <w:rFonts w:ascii="Times New Roman" w:hAnsi="Times New Roman"/>
                <w:b w:val="0"/>
                <w:i w:val="0"/>
                <w:sz w:val="20"/>
              </w:rPr>
              <w:t>7</w:t>
            </w:r>
          </w:p>
        </w:tc>
        <w:tc>
          <w:tcPr>
            <w:tcW w:type="dxa" w:w="902"/>
          </w:tcPr>
          <w:p>
            <w:pPr>
              <w:spacing w:line="240" w:lineRule="auto" w:before="40" w:after="40"/>
              <w:ind w:firstLine="0"/>
              <w:jc w:val="left"/>
            </w:pPr>
            <w:r>
              <w:rPr>
                <w:rFonts w:ascii="Times New Roman" w:hAnsi="Times New Roman"/>
                <w:b w:val="0"/>
                <w:i w:val="0"/>
                <w:sz w:val="20"/>
              </w:rPr>
              <w:t>5.2</w:t>
            </w:r>
          </w:p>
        </w:tc>
        <w:tc>
          <w:tcPr>
            <w:tcW w:type="dxa" w:w="2388"/>
          </w:tcPr>
          <w:p>
            <w:pPr>
              <w:spacing w:line="240" w:lineRule="auto" w:before="40" w:after="40"/>
              <w:ind w:firstLine="0"/>
              <w:jc w:val="left"/>
            </w:pPr>
            <w:r>
              <w:rPr>
                <w:rFonts w:ascii="Times New Roman" w:hAnsi="Times New Roman"/>
                <w:b w:val="0"/>
                <w:i w:val="0"/>
                <w:sz w:val="20"/>
              </w:rPr>
              <w:t>MET, PDGFRA, PTN, ECM1</w:t>
            </w:r>
          </w:p>
        </w:tc>
      </w:tr>
    </w:tbl>
    <w:p>
      <w:pPr>
        <w:spacing w:line="240" w:lineRule="auto" w:before="0" w:after="120"/>
      </w:pPr>
    </w:p>
    <w:p>
      <w:pPr>
        <w:pageBreakBefore/>
      </w:pPr>
      <w:r>
        <w:rPr>
          <w:rFonts w:ascii="Times New Roman" w:hAnsi="Times New Roman"/>
          <w:b/>
          <w:i w:val="0"/>
          <w:sz w:val="24"/>
        </w:rPr>
        <w:t>Table 2.</w:t>
      </w:r>
      <w:r>
        <w:rPr>
          <w:rFonts w:ascii="Times New Roman" w:hAnsi="Times New Roman"/>
          <w:b w:val="0"/>
          <w:i w:val="0"/>
          <w:sz w:val="24"/>
        </w:rPr>
        <w:t xml:space="preserve"> Signature-level versus bulk-level pathway enrichment (honest sparsity at signature level).</w:t>
      </w:r>
    </w:p>
    <w:tbl>
      <w:tblPr>
        <w:tblStyle w:val="TableGrid"/>
        <w:tblW w:type="auto" w:w="0"/>
        <w:jc w:val="left"/>
        <w:tblLayout w:type="fixed"/>
        <w:tblLook w:firstColumn="1" w:firstRow="1" w:lastColumn="0" w:lastRow="0" w:noHBand="0" w:noVBand="1" w:val="04A0"/>
        <w:tblInd w:w="51" w:type="dxa"/>
        <w:tblLayout w:type="fixed"/>
        <w:tblCellMar>
          <w:top w:w="0" w:type="dxa"/>
          <w:left w:w="51" w:type="dxa"/>
          <w:bottom w:w="0" w:type="dxa"/>
          <w:right w:w="51" w:type="dxa"/>
        </w:tblCellMar>
      </w:tblPr>
      <w:tblGrid>
        <w:gridCol w:w="1506"/>
        <w:gridCol w:w="2188"/>
        <w:gridCol w:w="2128"/>
        <w:gridCol w:w="1695"/>
        <w:gridCol w:w="1459"/>
      </w:tblGrid>
      <w:tr>
        <w:trPr>
          <w:tblHeader w:val="true"/>
        </w:trPr>
        <w:tc>
          <w:tcPr>
            <w:tcW w:type="dxa" w:w="1506"/>
          </w:tcPr>
          <w:p>
            <w:pPr>
              <w:spacing w:line="240" w:lineRule="auto" w:before="40" w:after="40"/>
              <w:ind w:firstLine="0"/>
              <w:jc w:val="left"/>
            </w:pPr>
            <w:r>
              <w:rPr>
                <w:rFonts w:ascii="Times New Roman" w:hAnsi="Times New Roman"/>
                <w:b/>
                <w:i w:val="0"/>
                <w:sz w:val="20"/>
              </w:rPr>
              <w:t>Enrichment layer</w:t>
            </w:r>
          </w:p>
        </w:tc>
        <w:tc>
          <w:tcPr>
            <w:tcW w:type="dxa" w:w="2188"/>
          </w:tcPr>
          <w:p>
            <w:pPr>
              <w:spacing w:line="240" w:lineRule="auto" w:before="40" w:after="40"/>
              <w:ind w:firstLine="0"/>
              <w:jc w:val="left"/>
            </w:pPr>
            <w:r>
              <w:rPr>
                <w:rFonts w:ascii="Times New Roman" w:hAnsi="Times New Roman"/>
                <w:b/>
                <w:i w:val="0"/>
                <w:sz w:val="20"/>
              </w:rPr>
              <w:t>Hallmark (adj. P &lt; 0.05)</w:t>
            </w:r>
          </w:p>
        </w:tc>
        <w:tc>
          <w:tcPr>
            <w:tcW w:type="dxa" w:w="2127"/>
          </w:tcPr>
          <w:p>
            <w:pPr>
              <w:spacing w:line="240" w:lineRule="auto" w:before="40" w:after="40"/>
              <w:ind w:firstLine="0"/>
              <w:jc w:val="left"/>
            </w:pPr>
            <w:r>
              <w:rPr>
                <w:rFonts w:ascii="Times New Roman" w:hAnsi="Times New Roman"/>
                <w:b/>
                <w:i w:val="0"/>
                <w:sz w:val="20"/>
              </w:rPr>
              <w:t>GO (Biological Process)</w:t>
            </w:r>
          </w:p>
        </w:tc>
        <w:tc>
          <w:tcPr>
            <w:tcW w:type="dxa" w:w="1695"/>
          </w:tcPr>
          <w:p>
            <w:pPr>
              <w:spacing w:line="240" w:lineRule="auto" w:before="40" w:after="40"/>
              <w:ind w:firstLine="0"/>
              <w:jc w:val="left"/>
            </w:pPr>
            <w:r>
              <w:rPr>
                <w:rFonts w:ascii="Times New Roman" w:hAnsi="Times New Roman"/>
                <w:b/>
                <w:i w:val="0"/>
                <w:sz w:val="20"/>
              </w:rPr>
              <w:t>TF libraries (ChEA/ENCODE)</w:t>
            </w:r>
          </w:p>
        </w:tc>
        <w:tc>
          <w:tcPr>
            <w:tcW w:type="dxa" w:w="1459"/>
          </w:tcPr>
          <w:p>
            <w:pPr>
              <w:spacing w:line="240" w:lineRule="auto" w:before="40" w:after="40"/>
              <w:ind w:firstLine="0"/>
              <w:jc w:val="left"/>
            </w:pPr>
            <w:r>
              <w:rPr>
                <w:rFonts w:ascii="Times New Roman" w:hAnsi="Times New Roman"/>
                <w:b/>
                <w:i w:val="0"/>
                <w:sz w:val="20"/>
              </w:rPr>
              <w:t>KEGG</w:t>
            </w:r>
          </w:p>
        </w:tc>
      </w:tr>
      <w:tr>
        <w:tc>
          <w:tcPr>
            <w:tcW w:type="dxa" w:w="1506"/>
          </w:tcPr>
          <w:p>
            <w:pPr>
              <w:spacing w:line="240" w:lineRule="auto" w:before="40" w:after="40"/>
              <w:ind w:firstLine="0"/>
              <w:jc w:val="left"/>
            </w:pPr>
            <w:r>
              <w:rPr>
                <w:rFonts w:ascii="Times New Roman" w:hAnsi="Times New Roman"/>
                <w:b w:val="0"/>
                <w:i w:val="0"/>
                <w:sz w:val="20"/>
              </w:rPr>
              <w:t>Signature-level (101-gene, GSE26549)</w:t>
            </w:r>
          </w:p>
        </w:tc>
        <w:tc>
          <w:tcPr>
            <w:tcW w:type="dxa" w:w="2188"/>
          </w:tcPr>
          <w:p>
            <w:pPr>
              <w:spacing w:line="240" w:lineRule="auto" w:before="40" w:after="40"/>
              <w:ind w:firstLine="0"/>
              <w:jc w:val="left"/>
            </w:pPr>
            <w:r>
              <w:rPr>
                <w:rFonts w:ascii="Times New Roman" w:hAnsi="Times New Roman"/>
                <w:b w:val="0"/>
                <w:i w:val="0"/>
                <w:sz w:val="20"/>
              </w:rPr>
              <w:t>1 term: UV Response Down (adj. P = 0.023)</w:t>
            </w:r>
          </w:p>
        </w:tc>
        <w:tc>
          <w:tcPr>
            <w:tcW w:type="dxa" w:w="2127"/>
          </w:tcPr>
          <w:p>
            <w:pPr>
              <w:spacing w:line="240" w:lineRule="auto" w:before="40" w:after="40"/>
              <w:ind w:firstLine="0"/>
              <w:jc w:val="left"/>
            </w:pPr>
            <w:r>
              <w:rPr>
                <w:rFonts w:ascii="Times New Roman" w:hAnsi="Times New Roman"/>
                <w:b w:val="0"/>
                <w:i w:val="0"/>
                <w:sz w:val="20"/>
              </w:rPr>
              <w:t>3 terms: steroid/androgen metabolism; neg. reg. proteolysis</w:t>
            </w:r>
          </w:p>
        </w:tc>
        <w:tc>
          <w:tcPr>
            <w:tcW w:type="dxa" w:w="1695"/>
          </w:tcPr>
          <w:p>
            <w:pPr>
              <w:spacing w:line="240" w:lineRule="auto" w:before="40" w:after="40"/>
              <w:ind w:firstLine="0"/>
              <w:jc w:val="left"/>
            </w:pPr>
            <w:r>
              <w:rPr>
                <w:rFonts w:ascii="Times New Roman" w:hAnsi="Times New Roman"/>
                <w:b w:val="0"/>
                <w:i w:val="0"/>
                <w:sz w:val="20"/>
              </w:rPr>
              <w:t>0</w:t>
            </w:r>
          </w:p>
        </w:tc>
        <w:tc>
          <w:tcPr>
            <w:tcW w:type="dxa" w:w="1459"/>
          </w:tcPr>
          <w:p>
            <w:pPr>
              <w:spacing w:line="240" w:lineRule="auto" w:before="40" w:after="40"/>
              <w:ind w:firstLine="0"/>
              <w:jc w:val="left"/>
            </w:pPr>
            <w:r>
              <w:rPr>
                <w:rFonts w:ascii="Times New Roman" w:hAnsi="Times New Roman"/>
                <w:b w:val="0"/>
                <w:i w:val="0"/>
                <w:sz w:val="20"/>
              </w:rPr>
              <w:t>0</w:t>
            </w:r>
          </w:p>
        </w:tc>
      </w:tr>
      <w:tr>
        <w:tc>
          <w:tcPr>
            <w:tcW w:type="dxa" w:w="1506"/>
          </w:tcPr>
          <w:p>
            <w:pPr>
              <w:spacing w:line="240" w:lineRule="auto" w:before="40" w:after="40"/>
              <w:ind w:firstLine="0"/>
              <w:jc w:val="left"/>
            </w:pPr>
            <w:r>
              <w:rPr>
                <w:rFonts w:ascii="Times New Roman" w:hAnsi="Times New Roman"/>
                <w:b w:val="0"/>
                <w:i w:val="0"/>
                <w:sz w:val="20"/>
              </w:rPr>
              <w:t>Bulk-level (GSE227919 cancer vs control, |logFC| &gt; 1)</w:t>
            </w:r>
          </w:p>
        </w:tc>
        <w:tc>
          <w:tcPr>
            <w:tcW w:type="dxa" w:w="2188"/>
          </w:tcPr>
          <w:p>
            <w:pPr>
              <w:spacing w:line="240" w:lineRule="auto" w:before="40" w:after="40"/>
              <w:ind w:firstLine="0"/>
              <w:jc w:val="left"/>
            </w:pPr>
            <w:r>
              <w:rPr>
                <w:rFonts w:ascii="Times New Roman" w:hAnsi="Times New Roman"/>
                <w:b w:val="0"/>
                <w:i w:val="0"/>
                <w:sz w:val="20"/>
              </w:rPr>
              <w:t>24 up / 3 down; top: E2F, G2M, Interferon; mTORC1, PI3K-AKT-mTOR, EMT</w:t>
            </w:r>
          </w:p>
        </w:tc>
        <w:tc>
          <w:tcPr>
            <w:tcW w:type="dxa" w:w="2127"/>
          </w:tcPr>
          <w:p>
            <w:pPr>
              <w:spacing w:line="240" w:lineRule="auto" w:before="40" w:after="40"/>
              <w:ind w:firstLine="0"/>
              <w:jc w:val="left"/>
            </w:pPr>
            <w:r>
              <w:rPr>
                <w:rFonts w:ascii="Times New Roman" w:hAnsi="Times New Roman"/>
                <w:b w:val="0"/>
                <w:i w:val="0"/>
                <w:sz w:val="20"/>
              </w:rPr>
              <w:t>405 up / 3 down; top: DNA-dependent DNA replication (adj. P = 6.11 × 10⁻²⁷)</w:t>
            </w:r>
          </w:p>
        </w:tc>
        <w:tc>
          <w:tcPr>
            <w:tcW w:type="dxa" w:w="1695"/>
          </w:tcPr>
          <w:p>
            <w:pPr>
              <w:spacing w:line="240" w:lineRule="auto" w:before="40" w:after="40"/>
              <w:ind w:firstLine="0"/>
              <w:jc w:val="left"/>
            </w:pPr>
            <w:r>
              <w:rPr>
                <w:rFonts w:ascii="Times New Roman" w:hAnsi="Times New Roman"/>
                <w:b w:val="0"/>
                <w:i w:val="0"/>
                <w:sz w:val="20"/>
              </w:rPr>
              <w:t>not analysed</w:t>
            </w:r>
          </w:p>
        </w:tc>
        <w:tc>
          <w:tcPr>
            <w:tcW w:type="dxa" w:w="1459"/>
          </w:tcPr>
          <w:p>
            <w:pPr>
              <w:spacing w:line="240" w:lineRule="auto" w:before="40" w:after="40"/>
              <w:ind w:firstLine="0"/>
              <w:jc w:val="left"/>
            </w:pPr>
            <w:r>
              <w:rPr>
                <w:rFonts w:ascii="Times New Roman" w:hAnsi="Times New Roman"/>
                <w:b w:val="0"/>
                <w:i w:val="0"/>
                <w:sz w:val="20"/>
              </w:rPr>
              <w:t>59 up / 0 down; top: Cell cycle (adj. P = 4.74 × 10⁻¹⁴)</w:t>
            </w:r>
          </w:p>
        </w:tc>
      </w:tr>
    </w:tbl>
    <w:p>
      <w:pPr>
        <w:spacing w:line="240" w:lineRule="auto" w:before="0" w:after="120"/>
      </w:pPr>
    </w:p>
    <w:p>
      <w:r>
        <w:rPr>
          <w:rFonts w:ascii="Times New Roman" w:hAnsi="Times New Roman"/>
          <w:b w:val="0"/>
          <w:i w:val="0"/>
          <w:sz w:val="24"/>
        </w:rPr>
        <w:t>0, tested with no significant term; not analysed, library not queried for this layer.</w:t>
      </w:r>
    </w:p>
    <w:p>
      <w:r>
        <w:rPr>
          <w:rFonts w:ascii="Times New Roman" w:hAnsi="Times New Roman"/>
          <w:b/>
          <w:i w:val="0"/>
          <w:sz w:val="24"/>
        </w:rPr>
        <w:t>Table 3.</w:t>
      </w:r>
      <w:r>
        <w:rPr>
          <w:rFonts w:ascii="Times New Roman" w:hAnsi="Times New Roman"/>
          <w:b w:val="0"/>
          <w:i w:val="0"/>
          <w:sz w:val="24"/>
        </w:rPr>
        <w:t xml:space="preserve"> Independent cross-sectional corroboration in GSE85195 (Agilent microarray; direction-weighted score, fixed discovery weights).</w:t>
      </w:r>
    </w:p>
    <w:tbl>
      <w:tblPr>
        <w:tblStyle w:val="TableGrid"/>
        <w:tblW w:type="auto" w:w="0"/>
        <w:jc w:val="left"/>
        <w:tblLayout w:type="fixed"/>
        <w:tblLook w:firstColumn="1" w:firstRow="1" w:lastColumn="0" w:lastRow="0" w:noHBand="0" w:noVBand="1" w:val="04A0"/>
        <w:tblInd w:w="51" w:type="dxa"/>
        <w:tblLayout w:type="fixed"/>
        <w:tblCellMar>
          <w:top w:w="0" w:type="dxa"/>
          <w:left w:w="51" w:type="dxa"/>
          <w:bottom w:w="0" w:type="dxa"/>
          <w:right w:w="51" w:type="dxa"/>
        </w:tblCellMar>
      </w:tblPr>
      <w:tblGrid>
        <w:gridCol w:w="995"/>
        <w:gridCol w:w="1028"/>
        <w:gridCol w:w="873"/>
        <w:gridCol w:w="1140"/>
        <w:gridCol w:w="1524"/>
        <w:gridCol w:w="1550"/>
        <w:gridCol w:w="1865"/>
      </w:tblGrid>
      <w:tr>
        <w:trPr>
          <w:tblHeader w:val="true"/>
        </w:trPr>
        <w:tc>
          <w:tcPr>
            <w:tcW w:type="dxa" w:w="995"/>
          </w:tcPr>
          <w:p>
            <w:pPr>
              <w:spacing w:line="240" w:lineRule="auto" w:before="40" w:after="40"/>
              <w:ind w:firstLine="0"/>
              <w:jc w:val="left"/>
            </w:pPr>
            <w:r>
              <w:rPr>
                <w:rFonts w:ascii="Times New Roman" w:hAnsi="Times New Roman"/>
                <w:b/>
                <w:i w:val="0"/>
                <w:sz w:val="20"/>
              </w:rPr>
              <w:t>Cohort</w:t>
            </w:r>
          </w:p>
        </w:tc>
        <w:tc>
          <w:tcPr>
            <w:tcW w:type="dxa" w:w="1028"/>
          </w:tcPr>
          <w:p>
            <w:pPr>
              <w:spacing w:line="240" w:lineRule="auto" w:before="40" w:after="40"/>
              <w:ind w:firstLine="0"/>
              <w:jc w:val="left"/>
            </w:pPr>
            <w:r>
              <w:rPr>
                <w:rFonts w:ascii="Times New Roman" w:hAnsi="Times New Roman"/>
                <w:b/>
                <w:i w:val="0"/>
                <w:sz w:val="20"/>
              </w:rPr>
              <w:t>Platform</w:t>
            </w:r>
          </w:p>
        </w:tc>
        <w:tc>
          <w:tcPr>
            <w:tcW w:type="dxa" w:w="873"/>
          </w:tcPr>
          <w:p>
            <w:pPr>
              <w:spacing w:line="240" w:lineRule="auto" w:before="40" w:after="40"/>
              <w:ind w:firstLine="0"/>
              <w:jc w:val="left"/>
            </w:pPr>
            <w:r>
              <w:rPr>
                <w:rFonts w:ascii="Times New Roman" w:hAnsi="Times New Roman"/>
                <w:b/>
                <w:i w:val="0"/>
                <w:sz w:val="20"/>
              </w:rPr>
              <w:t>Contrast</w:t>
            </w:r>
          </w:p>
        </w:tc>
        <w:tc>
          <w:tcPr>
            <w:tcW w:type="dxa" w:w="1140"/>
          </w:tcPr>
          <w:p>
            <w:pPr>
              <w:spacing w:line="240" w:lineRule="auto" w:before="40" w:after="40"/>
              <w:ind w:firstLine="0"/>
              <w:jc w:val="left"/>
            </w:pPr>
            <w:r>
              <w:rPr>
                <w:rFonts w:ascii="Times New Roman" w:hAnsi="Times New Roman"/>
                <w:b/>
                <w:i w:val="0"/>
                <w:sz w:val="20"/>
              </w:rPr>
              <w:t>n (pre-mal. / mal.)</w:t>
            </w:r>
          </w:p>
        </w:tc>
        <w:tc>
          <w:tcPr>
            <w:tcW w:type="dxa" w:w="1524"/>
          </w:tcPr>
          <w:p>
            <w:pPr>
              <w:spacing w:line="240" w:lineRule="auto" w:before="40" w:after="40"/>
              <w:ind w:firstLine="0"/>
              <w:jc w:val="left"/>
            </w:pPr>
            <w:r>
              <w:rPr>
                <w:rFonts w:ascii="Times New Roman" w:hAnsi="Times New Roman"/>
                <w:b/>
                <w:i w:val="0"/>
                <w:sz w:val="20"/>
              </w:rPr>
              <w:t>Mapped signature genes</w:t>
            </w:r>
          </w:p>
        </w:tc>
        <w:tc>
          <w:tcPr>
            <w:tcW w:type="dxa" w:w="1550"/>
          </w:tcPr>
          <w:p>
            <w:pPr>
              <w:spacing w:line="240" w:lineRule="auto" w:before="40" w:after="40"/>
              <w:ind w:firstLine="0"/>
              <w:jc w:val="left"/>
            </w:pPr>
            <w:r>
              <w:rPr>
                <w:rFonts w:ascii="Times New Roman" w:hAnsi="Times New Roman"/>
                <w:b/>
                <w:i w:val="0"/>
                <w:sz w:val="20"/>
              </w:rPr>
              <w:t>AUC (95% CI)</w:t>
            </w:r>
          </w:p>
        </w:tc>
        <w:tc>
          <w:tcPr>
            <w:tcW w:type="dxa" w:w="1865"/>
          </w:tcPr>
          <w:p>
            <w:pPr>
              <w:spacing w:line="240" w:lineRule="auto" w:before="40" w:after="40"/>
              <w:ind w:firstLine="0"/>
              <w:jc w:val="left"/>
            </w:pPr>
            <w:r>
              <w:rPr>
                <w:rFonts w:ascii="Times New Roman" w:hAnsi="Times New Roman"/>
                <w:b/>
                <w:i w:val="0"/>
                <w:sz w:val="20"/>
              </w:rPr>
              <w:t>Ordinal ρ (OPL &lt; OSCC)</w:t>
            </w:r>
          </w:p>
        </w:tc>
      </w:tr>
      <w:tr>
        <w:tc>
          <w:tcPr>
            <w:tcW w:type="dxa" w:w="995"/>
          </w:tcPr>
          <w:p>
            <w:pPr>
              <w:spacing w:line="240" w:lineRule="auto" w:before="40" w:after="40"/>
              <w:ind w:firstLine="0"/>
              <w:jc w:val="left"/>
            </w:pPr>
            <w:r>
              <w:rPr>
                <w:rFonts w:ascii="Times New Roman" w:hAnsi="Times New Roman"/>
                <w:b w:val="0"/>
                <w:i w:val="0"/>
                <w:sz w:val="20"/>
              </w:rPr>
              <w:t>GSE85195</w:t>
            </w:r>
          </w:p>
        </w:tc>
        <w:tc>
          <w:tcPr>
            <w:tcW w:type="dxa" w:w="1028"/>
          </w:tcPr>
          <w:p>
            <w:pPr>
              <w:spacing w:line="240" w:lineRule="auto" w:before="40" w:after="40"/>
              <w:ind w:firstLine="0"/>
              <w:jc w:val="left"/>
            </w:pPr>
            <w:r>
              <w:rPr>
                <w:rFonts w:ascii="Times New Roman" w:hAnsi="Times New Roman"/>
                <w:b w:val="0"/>
                <w:i w:val="0"/>
                <w:sz w:val="20"/>
              </w:rPr>
              <w:t>Agilent 4×44K (GPL6480)</w:t>
            </w:r>
          </w:p>
        </w:tc>
        <w:tc>
          <w:tcPr>
            <w:tcW w:type="dxa" w:w="873"/>
          </w:tcPr>
          <w:p>
            <w:pPr>
              <w:spacing w:line="240" w:lineRule="auto" w:before="40" w:after="40"/>
              <w:ind w:firstLine="0"/>
              <w:jc w:val="left"/>
            </w:pPr>
            <w:r>
              <w:rPr>
                <w:rFonts w:ascii="Times New Roman" w:hAnsi="Times New Roman"/>
                <w:b w:val="0"/>
                <w:i w:val="0"/>
                <w:sz w:val="20"/>
              </w:rPr>
              <w:t>OPL vs OSCC</w:t>
            </w:r>
          </w:p>
        </w:tc>
        <w:tc>
          <w:tcPr>
            <w:tcW w:type="dxa" w:w="1140"/>
          </w:tcPr>
          <w:p>
            <w:pPr>
              <w:spacing w:line="240" w:lineRule="auto" w:before="40" w:after="40"/>
              <w:ind w:firstLine="0"/>
              <w:jc w:val="left"/>
            </w:pPr>
            <w:r>
              <w:rPr>
                <w:rFonts w:ascii="Times New Roman" w:hAnsi="Times New Roman"/>
                <w:b w:val="0"/>
                <w:i w:val="0"/>
                <w:sz w:val="20"/>
              </w:rPr>
              <w:t>15 / 34</w:t>
            </w:r>
          </w:p>
        </w:tc>
        <w:tc>
          <w:tcPr>
            <w:tcW w:type="dxa" w:w="1524"/>
          </w:tcPr>
          <w:p>
            <w:pPr>
              <w:spacing w:line="240" w:lineRule="auto" w:before="40" w:after="40"/>
              <w:ind w:firstLine="0"/>
              <w:jc w:val="left"/>
            </w:pPr>
            <w:r>
              <w:rPr>
                <w:rFonts w:ascii="Times New Roman" w:hAnsi="Times New Roman"/>
                <w:b w:val="0"/>
                <w:i w:val="0"/>
                <w:sz w:val="20"/>
              </w:rPr>
              <w:t>83 / 101 (82.2%)</w:t>
            </w:r>
          </w:p>
        </w:tc>
        <w:tc>
          <w:tcPr>
            <w:tcW w:type="dxa" w:w="1550"/>
          </w:tcPr>
          <w:p>
            <w:pPr>
              <w:spacing w:line="240" w:lineRule="auto" w:before="40" w:after="40"/>
              <w:ind w:firstLine="0"/>
              <w:jc w:val="left"/>
            </w:pPr>
            <w:r>
              <w:rPr>
                <w:rFonts w:ascii="Times New Roman" w:hAnsi="Times New Roman"/>
                <w:b w:val="0"/>
                <w:i w:val="0"/>
                <w:sz w:val="20"/>
              </w:rPr>
              <w:t>0.949 (0.891–1.0)</w:t>
            </w:r>
          </w:p>
        </w:tc>
        <w:tc>
          <w:tcPr>
            <w:tcW w:type="dxa" w:w="1865"/>
          </w:tcPr>
          <w:p>
            <w:pPr>
              <w:spacing w:line="240" w:lineRule="auto" w:before="40" w:after="40"/>
              <w:ind w:firstLine="0"/>
              <w:jc w:val="left"/>
            </w:pPr>
            <w:r>
              <w:rPr>
                <w:rFonts w:ascii="Times New Roman" w:hAnsi="Times New Roman"/>
                <w:b w:val="0"/>
                <w:i w:val="0"/>
                <w:sz w:val="20"/>
              </w:rPr>
              <w:t>0.717 (P = 6.8 × 10⁻⁹)</w:t>
            </w:r>
          </w:p>
        </w:tc>
      </w:tr>
    </w:tbl>
    <w:p>
      <w:pPr>
        <w:spacing w:line="240" w:lineRule="auto" w:before="0" w:after="120"/>
      </w:pPr>
    </w:p>
    <w:sectPr w:rsidR="00FC693F" w:rsidRPr="0006063C" w:rsidSect="00034616">
      <w:footerReference w:type="default" r:id="rId9"/>
      <w:pgSz w:w="11906" w:h="16838"/>
      <w:pgMar w:top="1440" w:right="1440" w:bottom="1440" w:left="1440" w:header="709" w:footer="70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before="0" w:after="0"/>
      <w:jc w:val="center"/>
    </w:pPr>
    <w:r/>
    <w:r>
      <w:rPr>
        <w:rFonts w:ascii="Times New Roman" w:hAnsi="Times New Roman"/>
        <w:sz w:val="24"/>
      </w:rP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cs="Times New Roman" w:eastAsia="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before="0" w:after="0"/>
      <w:ind w:firstLine="0"/>
      <w:jc w:val="both"/>
    </w:pPr>
    <w:rPr>
      <w:rFonts w:ascii="Times New Roman" w:hAnsi="Times New Roman" w:cs="Times New Roman" w:eastAsia="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480" w:lineRule="auto"/>
      <w:jc w:val="left"/>
      <w:outlineLvl w:val="0"/>
    </w:pPr>
    <w:rPr>
      <w:rFonts w:ascii="Times New Roman" w:hAnsi="Times New Roman" w:cs="Times New Roman" w:eastAsia="Times New Roman"/>
      <w:b/>
      <w:bCs/>
      <w:i w:val="0"/>
      <w:sz w:val="24"/>
      <w:szCs w:val="28"/>
      <w:color w:val="000000"/>
    </w:rPr>
  </w:style>
  <w:style w:type="paragraph" w:styleId="Heading2">
    <w:name w:val="heading 2"/>
    <w:basedOn w:val="Normal"/>
    <w:next w:val="Normal"/>
    <w:link w:val="Heading2Char"/>
    <w:uiPriority w:val="9"/>
    <w:unhideWhenUsed/>
    <w:qFormat/>
    <w:rsid w:val="00FC693F"/>
    <w:pPr>
      <w:keepNext/>
      <w:keepLines/>
      <w:spacing w:before="120" w:after="0" w:line="480" w:lineRule="auto"/>
      <w:jc w:val="left"/>
      <w:outlineLvl w:val="1"/>
    </w:pPr>
    <w:rPr>
      <w:rFonts w:ascii="Times New Roman" w:hAnsi="Times New Roman" w:cs="Times New Roman" w:eastAsia="Times New Roman"/>
      <w:b/>
      <w:bCs/>
      <w:i/>
      <w:sz w:val="24"/>
      <w:szCs w:val="26"/>
      <w:color w:val="000000"/>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cs="Times New Roman" w:eastAsia="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cs="Times New Roman" w:eastAsia="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s="Times New Roman" w:eastAsia="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cs="Times New Roman" w:eastAsia="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cs="Times New Roman" w:eastAsia="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s="Times New Roman" w:eastAsia="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cs="Times New Roman" w:eastAsia="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cs="Times New Roman" w:eastAsia="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cs="Times New Roman" w:eastAsia="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cs="Times New Roman" w:eastAsia="Times New Roman"/>
      <w:b/>
      <w:bCs/>
      <w:color w:val="4F81BD" w:themeColor="accent1"/>
    </w:rPr>
  </w:style>
  <w:style w:type="paragraph" w:styleId="Title">
    <w:name w:val="Title"/>
    <w:basedOn w:val="Normal"/>
    <w:next w:val="Normal"/>
    <w:link w:val="TitleChar"/>
    <w:uiPriority w:val="10"/>
    <w:qFormat/>
    <w:rsid w:val="00FC693F"/>
    <w:pPr>
      <w:spacing w:after="240" w:line="480" w:lineRule="auto" w:before="0"/>
      <w:contextualSpacing/>
      <w:jc w:val="left"/>
    </w:pPr>
    <w:rPr>
      <w:rFonts w:ascii="Times New Roman" w:hAnsi="Times New Roman" w:cs="Times New Roman" w:eastAsia="Times New Roman"/>
      <w:b/>
      <w:spacing w:val="5"/>
      <w:kern w:val="28"/>
      <w:sz w:val="24"/>
      <w:szCs w:val="52"/>
      <w:color w:val="000000"/>
    </w:rPr>
  </w:style>
  <w:style w:type="character" w:customStyle="1" w:styleId="TitleChar">
    <w:name w:val="Title Char"/>
    <w:basedOn w:val="DefaultParagraphFont"/>
    <w:link w:val="Title"/>
    <w:uiPriority w:val="10"/>
    <w:rsid w:val="00FC693F"/>
    <w:rPr>
      <w:rFonts w:ascii="Times New Roman" w:hAnsi="Times New Roman" w:cs="Times New Roman" w:eastAsia="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cs="Times New Roman" w:eastAsia="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cs="Times New Roman" w:eastAsia="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cs="Times New Roman" w:eastAsia="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cs="Times New Roman" w:eastAsia="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cs="Times New Roman" w:eastAsia="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s="Times New Roman" w:eastAsia="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cs="Times New Roman" w:eastAsia="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cs="Times New Roman" w:eastAsia="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s="Times New Roman" w:eastAsia="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cs="Times New Roman" w:eastAsia="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cs="Times New Roman" w:eastAsia="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cs="Times New Roman" w:eastAsia="Times New Roman"/>
        <w:b/>
        <w:bCs/>
      </w:rPr>
    </w:tblStylePr>
    <w:tblStylePr w:type="lastCol">
      <w:rPr>
        <w:rFonts w:ascii="Times New Roman" w:hAnsi="Times New Roman" w:cs="Times New Roman" w:eastAsia="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cs="Times New Roman" w:eastAsia="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cs="Times New Roman" w:eastAsia="Times New Roman"/>
        <w:b/>
        <w:bCs/>
      </w:rPr>
    </w:tblStylePr>
    <w:tblStylePr w:type="lastCol">
      <w:rPr>
        <w:rFonts w:ascii="Times New Roman" w:hAnsi="Times New Roman" w:cs="Times New Roman" w:eastAsia="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cs="Times New Roman" w:eastAsia="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cs="Times New Roman" w:eastAsia="Times New Roman"/>
        <w:b/>
        <w:bCs/>
      </w:rPr>
    </w:tblStylePr>
    <w:tblStylePr w:type="lastCol">
      <w:rPr>
        <w:rFonts w:ascii="Times New Roman" w:hAnsi="Times New Roman" w:cs="Times New Roman" w:eastAsia="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cs="Times New Roman" w:eastAsia="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cs="Times New Roman" w:eastAsia="Times New Roman"/>
        <w:b/>
        <w:bCs/>
      </w:rPr>
    </w:tblStylePr>
    <w:tblStylePr w:type="lastCol">
      <w:rPr>
        <w:rFonts w:ascii="Times New Roman" w:hAnsi="Times New Roman" w:cs="Times New Roman" w:eastAsia="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cs="Times New Roman" w:eastAsia="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cs="Times New Roman" w:eastAsia="Times New Roman"/>
        <w:b/>
        <w:bCs/>
      </w:rPr>
    </w:tblStylePr>
    <w:tblStylePr w:type="lastCol">
      <w:rPr>
        <w:rFonts w:ascii="Times New Roman" w:hAnsi="Times New Roman" w:cs="Times New Roman" w:eastAsia="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cs="Times New Roman" w:eastAsia="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cs="Times New Roman" w:eastAsia="Times New Roman"/>
        <w:b/>
        <w:bCs/>
      </w:rPr>
    </w:tblStylePr>
    <w:tblStylePr w:type="lastCol">
      <w:rPr>
        <w:rFonts w:ascii="Times New Roman" w:hAnsi="Times New Roman" w:cs="Times New Roman" w:eastAsia="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cs="Times New Roman" w:eastAsia="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cs="Times New Roman" w:eastAsia="Times New Roman"/>
        <w:b/>
        <w:bCs/>
      </w:rPr>
    </w:tblStylePr>
    <w:tblStylePr w:type="lastCol">
      <w:rPr>
        <w:rFonts w:ascii="Times New Roman" w:hAnsi="Times New Roman" w:cs="Times New Roman" w:eastAsia="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cs="Times New Roman" w:eastAsia="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cs="Times New Roman" w:eastAsia="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cs="Times New Roman" w:eastAsia="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cs="Times New Roman" w:eastAsia="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cs="Times New Roman" w:eastAsia="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cs="Times New Roman" w:eastAsia="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cs="Times New Roman" w:eastAsia="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s="Times New Roman" w:eastAsia="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s="Times New Roman" w:eastAsia="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s="Times New Roman" w:eastAsia="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s="Times New Roman" w:eastAsia="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s="Times New Roman" w:eastAsia="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s="Times New Roman" w:eastAsia="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s="Times New Roman" w:eastAsia="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s="Times New Roman" w:eastAsia="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s="Times New Roman" w:eastAsia="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s="Times New Roman" w:eastAsia="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s="Times New Roman" w:eastAsia="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s="Times New Roman" w:eastAsia="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s="Times New Roman" w:eastAsia="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s="Times New Roman" w:eastAsia="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