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left"/>
      </w:pPr>
      <w:r>
        <w:rPr>
          <w:b w:val="0"/>
        </w:rPr>
        <w:t>2026-10-24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The Editor-in-Chief</w:t>
      </w:r>
    </w:p>
    <w:p>
      <w:pPr>
        <w:spacing w:line="360" w:lineRule="auto" w:before="0" w:after="0"/>
        <w:jc w:val="left"/>
      </w:pPr>
      <w:r>
        <w:rPr>
          <w:b w:val="0"/>
        </w:rPr>
        <w:t>Oral Oncology</w:t>
      </w:r>
    </w:p>
    <w:p>
      <w:pPr>
        <w:spacing w:line="360" w:lineRule="auto" w:before="0" w:after="0"/>
        <w:jc w:val="left"/>
      </w:pPr>
      <w:r>
        <w:rPr>
          <w:b w:val="0"/>
        </w:rPr>
        <w:t>Elsevier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Dear Editor-in-Chief,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We submit our original research article, A validated transcriptomic signature of malignant progression in oral leukoplakia and proliferative verrucous leukoplakia: independent replication, single-cell mapping, and in silico drug repositioning, as an Original Research Article.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Malignant transformation in oral leukoplakia (OL) and proliferative verrucous leukoplakia (PVL) is clinically unpredictable: dysplasia grading is subjective and weakly predictive, and resecting OL has not been shown to reduce the incidence of oral squamous cell carcinoma (OSCC). Saintigny's 29-transcript model and Foy's immunological and classical subtypes, the best-known solutions, both derive from GSE26549, and neither has been independently confirmed on a modern RNA-seq platform. Rather than transferring fitted coefficients across platforms, we score samples with a direction-weighted, within-cohort z-score that borrows only each gene's discovery direction and relative magnitude, then test it in an independent RNA-seq cohort and a second, independent microarray cohort.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Cross-platform validation: a 101-gene signature from GSE26549 (86 OL; 35 progressors, 51 non-progressors) tracked severity in the independent RNA-seq cohort GSE227919 (n = 66; Control 18, HkNR 17, dysplasia 22, cancer 9; ρ = 0.473, P = 5.99 × 10</w:t>
      </w:r>
      <w:r>
        <w:rPr>
          <w:b w:val="0"/>
          <w:vertAlign w:val="superscript"/>
        </w:rPr>
        <w:t>-5</w:t>
      </w:r>
      <w:r>
        <w:rPr>
          <w:b w:val="0"/>
        </w:rPr>
        <w:t>) and survived removal of the nine cancers (n = 57; ρ = 0.356, P = 0.007); in GSE85195 (15 OPL, 34 OSCC; 83/101 genes mapped) it separated pre-malignant from malignant tissue (AUC 0.949, 95% CI 0.891–1.0; ρ = 0.717, P = 6.8 × 10</w:t>
      </w:r>
      <w:r>
        <w:rPr>
          <w:b w:val="0"/>
          <w:vertAlign w:val="superscript"/>
        </w:rPr>
        <w:t>-9</w:t>
      </w:r>
      <w:r>
        <w:rPr>
          <w:b w:val="0"/>
        </w:rPr>
        <w:t>, n = 49). Single-cell localisation: across three blocks of one PVL lesion (GSE196296; 28,543 cells) the between-block effect size was η</w:t>
      </w:r>
      <w:r>
        <w:rPr>
          <w:b w:val="0"/>
          <w:vertAlign w:val="superscript"/>
        </w:rPr>
        <w:t>2</w:t>
      </w:r>
      <w:r>
        <w:rPr>
          <w:b w:val="0"/>
        </w:rPr>
        <w:t xml:space="preserve"> = 0.006, excluding linear escalation along the lesion axis, and the signature concentrated in five cell states (Cliff's δ = 0.43–0.89). Drug repositioning: two-direction LINCS reversal returned eight candidates, with PI3K/mTOR inhibitors (torin-1, GSK-1059615, ZSTK-474) prioritised on human oral premalignant lesion precedent (60% histological response to metformin; pS6 reduction correlated with response, P = 0.04), not cell-line reasoning.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We have tried to make our results harder to over-read. The internal cross-validated AUC of 1.0 is labelled an optimistic upper bound, as gene selection and evaluation were not nested. The single-cell η</w:t>
      </w:r>
      <w:r>
        <w:rPr>
          <w:b w:val="0"/>
          <w:vertAlign w:val="superscript"/>
        </w:rPr>
        <w:t>2</w:t>
      </w:r>
      <w:r>
        <w:rPr>
          <w:b w:val="0"/>
        </w:rPr>
        <w:t xml:space="preserve"> = 0.006 is reported as an honest null: Kruskal–Wallis returns P = 1.13 × 10</w:t>
      </w:r>
      <w:r>
        <w:rPr>
          <w:b w:val="0"/>
          <w:vertAlign w:val="superscript"/>
        </w:rPr>
        <w:t>-11</w:t>
      </w:r>
      <w:r>
        <w:rPr>
          <w:b w:val="0"/>
        </w:rPr>
        <w:t xml:space="preserve"> across 28,543 cells, and we decline to read that as a gradient. GSE85195 is a cross-sectional state-discrimination test in a gingivobuccal complex population, not a prospective transformation prediction. Signature-level enrichment is sparse (one Hallmark term, no transcription-factor or KEGG terms), so mTORC1, PI3K-AKT-mTOR and EMT remain bulk cancer-versus-control findings, not signature mechanisms. Because our signature shares its discovery cohort with Saintigny's, we report zero symbol-level overlap while stating that the cohorts are not independent; independence rests on GSE227919 and GSE85195 alone.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The authors' primary clinical affiliations are in ophthalmology, and this work is a secondary analysis of public transcriptomic datasets rather than a study of our own patients. The study reflects a methodological interest in cross-platform signature transfer and makes no claim of clinical expertise in oral medicine. Oral potentially malignant disorders were chosen because the public data landscape offers an unusually complete pre-malignant-to-malignant continuum — a discovery cohort with transformation outcome, an ordinal-severity RNA-seq cohort, a single lesion sampled along its pathological continuum, and an independent microarray cohort — making it an unusually stringent test bed for a platform-agnostic scoring framework.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The manuscript is original, has not been published in whole or in part, and is not under consideration elsewhere. All authors have read and approved the submission; there is no authorship dispute. No competing interests are declared; this research received no specific funding. Input datasets are public (GSE26549, GSE227919, GSE196296, GSE85195); the signature, per-sample scores and analysis code are archived under a concept DOI (10.5281/zenodo.21823583; version 2, 10.5281/zenodo.23453360) and at https://github.com/PaperValidation/stomatology-pvl. De-identified public data required no ethics approval. Generative AI assistance is declared in the manuscript per journal policy.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We hope the work suits Oral Oncology's readership: it turns an extensively analysed but thinly validated literature into a platform-agnostic score with explicit bounds, and yields testable chemoprevention hypotheses rather than clinical recommendations. We would be glad to respond to reviewer comments and thank you for your consideration.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 w:val="0"/>
        </w:rPr>
        <w:t>Yours sincerely,</w:t>
      </w:r>
    </w:p>
    <w:p>
      <w:pPr>
        <w:spacing w:line="360" w:lineRule="auto" w:before="0" w:after="0"/>
        <w:jc w:val="left"/>
      </w:pPr>
    </w:p>
    <w:p>
      <w:pPr>
        <w:spacing w:line="360" w:lineRule="auto" w:before="0" w:after="0"/>
        <w:jc w:val="left"/>
      </w:pPr>
      <w:r>
        <w:rPr>
          <w:b/>
        </w:rPr>
        <w:t>Wang Yuqian</w:t>
      </w:r>
    </w:p>
    <w:p>
      <w:pPr>
        <w:spacing w:line="360" w:lineRule="auto" w:before="0" w:after="0"/>
        <w:jc w:val="left"/>
      </w:pPr>
      <w:r>
        <w:rPr>
          <w:b w:val="0"/>
        </w:rPr>
        <w:t>On behalf of all authors</w:t>
      </w:r>
    </w:p>
    <w:p>
      <w:pPr>
        <w:spacing w:line="360" w:lineRule="auto" w:before="0" w:after="0"/>
        <w:jc w:val="left"/>
      </w:pPr>
      <w:r>
        <w:rPr>
          <w:b w:val="0"/>
        </w:rPr>
        <w:t>Shaanxi Eye Hospital, Xi'an People's Hospital (Xi'an Fourth Hospital), Affiliated People's Hospital of Northwest University, Xi'an 710004, China</w:t>
      </w:r>
    </w:p>
    <w:p>
      <w:pPr>
        <w:spacing w:line="360" w:lineRule="auto" w:before="0" w:after="0"/>
        <w:jc w:val="left"/>
      </w:pPr>
      <w:r>
        <w:rPr>
          <w:b w:val="0"/>
        </w:rPr>
        <w:t>E-mail: wyq@med.nwu.edu.cn</w:t>
      </w:r>
    </w:p>
    <w:p>
      <w:pPr>
        <w:spacing w:line="360" w:lineRule="auto" w:before="0" w:after="0"/>
        <w:jc w:val="left"/>
      </w:pPr>
      <w:r>
        <w:rPr>
          <w:b w:val="0"/>
        </w:rPr>
        <w:t>ORCID: 0009-0007-2276-0085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