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Highlights</w:t>
      </w:r>
    </w:p>
    <w:p/>
    <w:p>
      <w:pPr>
        <w:pStyle w:val="ListBullet"/>
        <w:spacing w:line="360" w:lineRule="auto" w:after="120"/>
      </w:pPr>
      <w:r>
        <w:t>A 101-gene progression signature generalises to RNA-seq as a graded severity signal.</w:t>
      </w:r>
    </w:p>
    <w:p>
      <w:pPr>
        <w:pStyle w:val="ListBullet"/>
        <w:spacing w:line="360" w:lineRule="auto" w:after="120"/>
      </w:pPr>
      <w:r>
        <w:t>The platform-agnostic score also discriminates leukoplakia from OSCC on microarray.</w:t>
      </w:r>
    </w:p>
    <w:p>
      <w:pPr>
        <w:pStyle w:val="ListBullet"/>
        <w:spacing w:line="360" w:lineRule="auto" w:after="120"/>
      </w:pPr>
      <w:r>
        <w:t>Single-cell mapping pins the signature to specific epithelial and immune states.</w:t>
      </w:r>
    </w:p>
    <w:p>
      <w:pPr>
        <w:pStyle w:val="ListBullet"/>
        <w:spacing w:line="360" w:lineRule="auto" w:after="120"/>
      </w:pPr>
      <w:r>
        <w:t>LINCS reversal nominates eight repositionable candidates; PI3K/mTOR inhibitors lead.</w:t>
      </w:r>
    </w:p>
    <w:p>
      <w:pPr>
        <w:pStyle w:val="ListBullet"/>
        <w:spacing w:line="360" w:lineRule="auto" w:after="120"/>
      </w:pPr>
      <w:r>
        <w:t>Internal cross-validated AUC of 1.0 is reported candidly as an optimistic estimate.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