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1. Eight LINCS L1000 two-direction reversal candidates. "Up-targets ↓" = number of progression-up signature genes significantly down-regulated by the compound; "Low-targets ↑" = number of progression-low genes significantly up-regulated; "Hub evidence" lists the hub genes (TFRC, SPP1, SLC2A1, MET / ECM1, PDGFRA, IGFBP5, PTN) with reversal evidence.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20"/>
              </w:rPr>
              <w:t>Compound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Target class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Tier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Up-targets ↓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Low-targets ↑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Reversal score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Hub-gene evidence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ZSTK-474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PI3K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Priority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14.9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TFRC, SLC2A1, PTN, PDGFRA, IGFBP5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PF-477736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CHK1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Exploratory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11.6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TFRC, SPP1, MET, PTN, IGFBP5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AZD-7762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CHK1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Exploratory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11.5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TFRC, SPP1, PDGFRA, PTN, ECM1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HG-6-64-01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HDAC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Exploratory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10.7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SLC2A1, PTN, IGFBP5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GSK-1059615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PI3K/mTOR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Priority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9.0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TFRC, SLC2A1, SPP1, PTN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AS-601245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JNK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Exploratory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6.5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TFRC, SPP1, MET, PDGFRA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torin-1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mTOR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Priority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5.4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SPP1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sorafenib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Multi-kinase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Exploratory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5.2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MET, PDGFRA, PTN, ECM1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