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3. Independent cross-sectional corroboration in GSE85195 (Agilent microarray; direction-weighted score, fixed discovery weights).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Cohort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Contrast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n (pre-mal. / mal.)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Mapped signature genes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AUC (95% CI)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Ordinal ρ (OPL &lt; OSCC)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GSE85195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Agilent 4×44K (GPL6480)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OPL vs OSCC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15 / 34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83 / 101 (82.2%)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0.949 (0.891–1.0)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0.717 (P = 6.8 × 10⁻⁹)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