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300"/>
        <w:jc w:val="center"/>
      </w:pPr>
      <w:r>
        <w:rPr>
          <w:rFonts w:ascii="Arial" w:cs="Arial" w:eastAsia="Arial" w:hAnsi="Arial"/>
          <w:b/>
          <w:bCs/>
          <w:color w:val="2F5233"/>
          <w:sz w:val="54"/>
          <w:szCs w:val="54"/>
        </w:rPr>
        <w:t xml:space="preserve">RISK-DRIVEN LEADERSHIP</w:t>
      </w:r>
    </w:p>
    <w:p>
      <w:pPr>
        <w:spacing w:after="130"/>
        <w:jc w:val="center"/>
      </w:pPr>
      <w:r>
        <w:rPr>
          <w:rFonts w:ascii="Arial" w:cs="Arial" w:eastAsia="Arial" w:hAnsi="Arial"/>
          <w:color w:val="1A1A1A"/>
          <w:sz w:val="32"/>
          <w:szCs w:val="32"/>
        </w:rPr>
        <w:t xml:space="preserve">A Concept Paper</w:t>
      </w:r>
    </w:p>
    <w:p>
      <w:pPr>
        <w:spacing w:after="110"/>
        <w:jc w:val="center"/>
      </w:pPr>
      <w:r>
        <w:rPr>
          <w:rFonts w:ascii="Calibri" w:cs="Calibri" w:eastAsia="Calibri" w:hAnsi="Calibri"/>
          <w:i/>
          <w:iCs/>
          <w:color w:val="595959"/>
          <w:sz w:val="23"/>
          <w:szCs w:val="23"/>
        </w:rPr>
        <w:t xml:space="preserve">Applying Risk-Driven Management to Action Centred Leadership — completing the three circles</w:t>
      </w:r>
    </w:p>
    <w:p>
      <w:pPr>
        <w:spacing w:after="90" w:before="1900"/>
        <w:jc w:val="center"/>
      </w:pPr>
      <w:r>
        <w:rPr>
          <w:rFonts w:ascii="Arial" w:cs="Arial" w:eastAsia="Arial" w:hAnsi="Arial"/>
          <w:b/>
          <w:bCs/>
          <w:color w:val="B02318"/>
          <w:sz w:val="22"/>
          <w:szCs w:val="22"/>
        </w:rPr>
        <w:t xml:space="preserve">STATUS: EXPLORATORY</w:t>
      </w:r>
    </w:p>
    <w:p>
      <w:pPr>
        <w:spacing w:after="70"/>
        <w:jc w:val="center"/>
      </w:pPr>
      <w:r>
        <w:rPr>
          <w:rFonts w:ascii="Calibri" w:cs="Calibri" w:eastAsia="Calibri" w:hAnsi="Calibri"/>
          <w:i/>
          <w:iCs/>
          <w:color w:val="595959"/>
          <w:sz w:val="19"/>
          <w:szCs w:val="19"/>
        </w:rPr>
        <w:t xml:space="preserve">This paper explores an extension of RDM beyond the canonical framework. It is not part of RDM-FMD-3.00.</w:t>
      </w:r>
    </w:p>
    <w:p>
      <w:pPr>
        <w:spacing w:after="60" w:before="500"/>
        <w:jc w:val="center"/>
      </w:pPr>
      <w:r>
        <w:rPr>
          <w:rFonts w:ascii="Calibri" w:cs="Calibri" w:eastAsia="Calibri" w:hAnsi="Calibri"/>
          <w:color w:val="595959"/>
          <w:sz w:val="18"/>
          <w:szCs w:val="18"/>
        </w:rPr>
        <w:t xml:space="preserve">Draws on the RDM Framework Master Document v3.00 and on John Adair's published Action Centred Leadership model, with attribution.</w:t>
      </w:r>
    </w:p>
    <w:p>
      <w:pPr>
        <w:spacing w:after="60"/>
        <w:jc w:val="center"/>
      </w:pPr>
      <w:r>
        <w:rPr>
          <w:rFonts w:ascii="Calibri" w:cs="Calibri" w:eastAsia="Calibri" w:hAnsi="Calibri"/>
          <w:color w:val="595959"/>
          <w:sz w:val="18"/>
          <w:szCs w:val="18"/>
        </w:rPr>
        <w:t xml:space="preserve">RDM © Philip Linnell 2026 · risk-driven-management.com</w:t>
      </w:r>
    </w:p>
    <w:p>
      <w:r>
        <w:br w:type="page"/>
      </w:r>
    </w:p>
    <w:p>
      <w:pPr>
        <w:pStyle w:val="Heading1"/>
        <w:spacing w:after="170" w:before="320"/>
      </w:pPr>
      <w:r>
        <w:rPr>
          <w:rFonts w:ascii="Arial" w:cs="Arial" w:eastAsia="Arial" w:hAnsi="Arial"/>
          <w:b/>
          <w:bCs/>
          <w:color w:val="2F5233"/>
          <w:sz w:val="31"/>
          <w:szCs w:val="31"/>
        </w:rPr>
        <w:t xml:space="preserve">1.  Where this paper comes from</w:t>
      </w:r>
    </w:p>
    <w:p>
      <w:pPr>
        <w:spacing w:after="150" w:line="276"/>
      </w:pPr>
      <w:r>
        <w:rPr>
          <w:rFonts w:ascii="Calibri" w:cs="Calibri" w:eastAsia="Calibri" w:hAnsi="Calibri"/>
          <w:color w:val="1A1A1A"/>
          <w:sz w:val="22"/>
          <w:szCs w:val="22"/>
        </w:rPr>
        <w:t xml:space="preserve">In 1979, a young officer joining the Royal Navy was taught leadership through a system called Action Centred Leadership: three overlapping circles — the task, the team, the individual — and the discipline of balancing attention across all three. Forty-seven years later, the same officer authored Risk-Driven Management: a framework built on the proposition that management exists to make and fulfil commitments under uncertainty, and that every management action must be justified by risk evidence.</w:t>
      </w:r>
    </w:p>
    <w:p>
      <w:pPr>
        <w:spacing w:after="150" w:line="276"/>
      </w:pPr>
      <w:r>
        <w:rPr>
          <w:rFonts w:ascii="Calibri" w:cs="Calibri" w:eastAsia="Calibri" w:hAnsi="Calibri"/>
          <w:color w:val="1A1A1A"/>
          <w:sz w:val="22"/>
          <w:szCs w:val="22"/>
        </w:rPr>
        <w:t xml:space="preserve">This paper asks whether the two belong together — and argues that they do, more deeply than either would have predicted. The armed services have always spoken in terms of </w:t>
      </w:r>
      <w:r>
        <w:rPr>
          <w:rFonts w:ascii="Calibri" w:cs="Calibri" w:eastAsia="Calibri" w:hAnsi="Calibri"/>
          <w:b/>
          <w:bCs/>
          <w:color w:val="1A1A1A"/>
          <w:sz w:val="22"/>
          <w:szCs w:val="22"/>
        </w:rPr>
        <w:t xml:space="preserve">the Threat</w:t>
      </w:r>
      <w:r>
        <w:rPr>
          <w:rFonts w:ascii="Calibri" w:cs="Calibri" w:eastAsia="Calibri" w:hAnsi="Calibri"/>
          <w:color w:val="1A1A1A"/>
          <w:sz w:val="22"/>
          <w:szCs w:val="22"/>
        </w:rPr>
        <w:t xml:space="preserve">: every estimate begins with it, every plan is shaped against it, every commander is trained to act on its forecast rather than its arrival. That instinct — act on the forecast of the threat, not the history of the damage — is precisely RDM's central mechanism, expressed fifty years earlier in doctrine rather than in registers. What the services never did was export that grammar into their leadership model. Action Centred Leadership told the leader </w:t>
      </w:r>
      <w:r>
        <w:rPr>
          <w:rFonts w:ascii="Calibri" w:cs="Calibri" w:eastAsia="Calibri" w:hAnsi="Calibri"/>
          <w:i/>
          <w:iCs/>
          <w:color w:val="1A1A1A"/>
          <w:sz w:val="22"/>
          <w:szCs w:val="22"/>
        </w:rPr>
        <w:t xml:space="preserve">what</w:t>
      </w:r>
      <w:r>
        <w:rPr>
          <w:rFonts w:ascii="Calibri" w:cs="Calibri" w:eastAsia="Calibri" w:hAnsi="Calibri"/>
          <w:color w:val="1A1A1A"/>
          <w:sz w:val="22"/>
          <w:szCs w:val="22"/>
        </w:rPr>
        <w:t xml:space="preserve"> to balance; it never supplied the mechanism for deciding </w:t>
      </w:r>
      <w:r>
        <w:rPr>
          <w:rFonts w:ascii="Calibri" w:cs="Calibri" w:eastAsia="Calibri" w:hAnsi="Calibri"/>
          <w:i/>
          <w:iCs/>
          <w:color w:val="1A1A1A"/>
          <w:sz w:val="22"/>
          <w:szCs w:val="22"/>
        </w:rPr>
        <w:t xml:space="preserve">where attention goes now</w:t>
      </w:r>
      <w:r>
        <w:rPr>
          <w:rFonts w:ascii="Calibri" w:cs="Calibri" w:eastAsia="Calibri" w:hAnsi="Calibri"/>
          <w:color w:val="1A1A1A"/>
          <w:sz w:val="22"/>
          <w:szCs w:val="22"/>
        </w:rPr>
        <w:t xml:space="preserve">. This paper supplies it.</w:t>
      </w:r>
    </w:p>
    <w:tbl>
      <w:tblPr>
        <w:tblW w:type="dxa" w:w="9026"/>
        <w:tblBorders>
          <w:top w:val="single" w:color="2F5233" w:sz="6"/>
          <w:left w:val="single" w:color="2F5233" w:sz="6"/>
          <w:bottom w:val="single" w:color="2F5233" w:sz="6"/>
          <w:right w:val="single" w:color="2F5233" w:sz="6"/>
          <w:insideH w:val="single" w:color="auto" w:sz="4"/>
          <w:insideV w:val="single" w:color="auto" w:sz="4"/>
        </w:tblBorders>
      </w:tblPr>
      <w:tblGrid>
        <w:gridCol w:w="9026"/>
      </w:tblGrid>
      <w:tr>
        <w:tc>
          <w:tcPr>
            <w:shd w:fill="EEF3EC" w:val="clear"/>
            <w:tcMar>
              <w:top w:type="dxa" w:w="150"/>
              <w:left w:type="dxa" w:w="210"/>
              <w:bottom w:type="dxa" w:w="150"/>
              <w:right w:type="dxa" w:w="210"/>
            </w:tcMar>
          </w:tcPr>
          <w:p>
            <w:pPr>
              <w:spacing w:after="90"/>
            </w:pPr>
            <w:r>
              <w:rPr>
                <w:rFonts w:ascii="Arial" w:cs="Arial" w:eastAsia="Arial" w:hAnsi="Arial"/>
                <w:b/>
                <w:bCs/>
                <w:color w:val="2F5233"/>
                <w:sz w:val="22"/>
                <w:szCs w:val="22"/>
              </w:rPr>
              <w:t xml:space="preserve">The claim in one sentence</w:t>
            </w:r>
          </w:p>
          <w:p>
            <w:pPr>
              <w:spacing w:after="80" w:line="272"/>
            </w:pPr>
            <w:r>
              <w:rPr>
                <w:rFonts w:ascii="Calibri" w:cs="Calibri" w:eastAsia="Calibri" w:hAnsi="Calibri"/>
                <w:b/>
                <w:bCs/>
                <w:i/>
                <w:iCs/>
                <w:color w:val="1A1A1A"/>
                <w:sz w:val="22"/>
                <w:szCs w:val="22"/>
              </w:rPr>
              <w:t xml:space="preserve">Each of Adair's three circles is a commitment domain under threat, and the leader's attention should be allocated by the forecast risk to the commitment in each domain — not by rotation, habit, or the loudest voice.</w:t>
            </w:r>
          </w:p>
        </w:tc>
      </w:tr>
    </w:tbl>
    <w:p>
      <w:r>
        <w:br w:type="page"/>
      </w:r>
    </w:p>
    <w:p>
      <w:pPr>
        <w:pStyle w:val="Heading1"/>
        <w:spacing w:after="170" w:before="320"/>
      </w:pPr>
      <w:r>
        <w:rPr>
          <w:rFonts w:ascii="Arial" w:cs="Arial" w:eastAsia="Arial" w:hAnsi="Arial"/>
          <w:b/>
          <w:bCs/>
          <w:color w:val="2F5233"/>
          <w:sz w:val="31"/>
          <w:szCs w:val="31"/>
        </w:rPr>
        <w:t xml:space="preserve">2.  Action Centred Leadership — and its famous gap</w:t>
      </w:r>
    </w:p>
    <w:p>
      <w:pPr>
        <w:spacing w:after="150" w:line="276"/>
      </w:pPr>
      <w:r>
        <w:rPr>
          <w:rFonts w:ascii="Calibri" w:cs="Calibri" w:eastAsia="Calibri" w:hAnsi="Calibri"/>
          <w:color w:val="1A1A1A"/>
          <w:sz w:val="22"/>
          <w:szCs w:val="22"/>
        </w:rPr>
        <w:t xml:space="preserve">Action Centred Leadership originated at the Royal Military Academy Sandhurst in the 1960s, where John Adair — the first university Professor of Leadership Studies — developed it as “Functional Leadership”. Its revolutionary claim was that leadership is not a bundle of innate qualities but a set of observable, learnable </w:t>
      </w:r>
      <w:r>
        <w:rPr>
          <w:rFonts w:ascii="Calibri" w:cs="Calibri" w:eastAsia="Calibri" w:hAnsi="Calibri"/>
          <w:b/>
          <w:bCs/>
          <w:color w:val="1A1A1A"/>
          <w:sz w:val="22"/>
          <w:szCs w:val="22"/>
        </w:rPr>
        <w:t xml:space="preserve">functions</w:t>
      </w:r>
      <w:r>
        <w:rPr>
          <w:rFonts w:ascii="Calibri" w:cs="Calibri" w:eastAsia="Calibri" w:hAnsi="Calibri"/>
          <w:color w:val="1A1A1A"/>
          <w:sz w:val="22"/>
          <w:szCs w:val="22"/>
        </w:rPr>
        <w:t xml:space="preserve">: defining the task, planning, briefing, controlling, evaluating, motivating, organising, setting an example. The model was adopted by the Royal Air Force, the Royal Navy and the Royal Marines, renamed Action Centred Leadership in 1969 through The Industrial Society, and has since been used to train well over two million managers worldwide. Officers commissioned in the 1970s met it as the core of their leadership education.</w:t>
      </w:r>
    </w:p>
    <w:p>
      <w:pPr>
        <w:spacing w:after="150" w:line="276"/>
      </w:pPr>
      <w:r>
        <w:rPr>
          <w:rFonts w:ascii="Calibri" w:cs="Calibri" w:eastAsia="Calibri" w:hAnsi="Calibri"/>
          <w:color w:val="1A1A1A"/>
          <w:sz w:val="22"/>
          <w:szCs w:val="22"/>
        </w:rPr>
        <w:t xml:space="preserve">Its structure is three overlapping circles of need, which the leader must satisfy simultaneously: </w:t>
      </w:r>
      <w:r>
        <w:rPr>
          <w:rFonts w:ascii="Calibri" w:cs="Calibri" w:eastAsia="Calibri" w:hAnsi="Calibri"/>
          <w:b/>
          <w:bCs/>
          <w:color w:val="1A1A1A"/>
          <w:sz w:val="22"/>
          <w:szCs w:val="22"/>
        </w:rPr>
        <w:t xml:space="preserve">achieve the task</w:t>
      </w: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build and maintain the team</w:t>
      </w: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meet and develop the individual</w:t>
      </w:r>
      <w:r>
        <w:rPr>
          <w:rFonts w:ascii="Calibri" w:cs="Calibri" w:eastAsia="Calibri" w:hAnsi="Calibri"/>
          <w:color w:val="1A1A1A"/>
          <w:sz w:val="22"/>
          <w:szCs w:val="22"/>
        </w:rPr>
        <w:t xml:space="preserve">. The circles overlap because the needs interlock — a failing task corrodes the team; a neglected individual weakens both. Neglect any circle and the other two suffer. As a model of </w:t>
      </w:r>
      <w:r>
        <w:rPr>
          <w:rFonts w:ascii="Calibri" w:cs="Calibri" w:eastAsia="Calibri" w:hAnsi="Calibri"/>
          <w:i/>
          <w:iCs/>
          <w:color w:val="1A1A1A"/>
          <w:sz w:val="22"/>
          <w:szCs w:val="22"/>
        </w:rPr>
        <w:t xml:space="preserve">what leadership must attend to</w:t>
      </w:r>
      <w:r>
        <w:rPr>
          <w:rFonts w:ascii="Calibri" w:cs="Calibri" w:eastAsia="Calibri" w:hAnsi="Calibri"/>
          <w:color w:val="1A1A1A"/>
          <w:sz w:val="22"/>
          <w:szCs w:val="22"/>
        </w:rPr>
        <w:t xml:space="preserve">, it has barely been improved upon in sixty years.</w:t>
      </w:r>
    </w:p>
    <w:p>
      <w:pPr>
        <w:pStyle w:val="Heading2"/>
        <w:spacing w:after="130" w:before="240"/>
      </w:pPr>
      <w:r>
        <w:rPr>
          <w:rFonts w:ascii="Arial" w:cs="Arial" w:eastAsia="Arial" w:hAnsi="Arial"/>
          <w:b/>
          <w:bCs/>
          <w:color w:val="4A7C59"/>
          <w:sz w:val="24"/>
          <w:szCs w:val="24"/>
        </w:rPr>
        <w:t xml:space="preserve">The gap</w:t>
      </w:r>
    </w:p>
    <w:p>
      <w:pPr>
        <w:spacing w:after="150" w:line="276"/>
      </w:pPr>
      <w:r>
        <w:rPr>
          <w:rFonts w:ascii="Calibri" w:cs="Calibri" w:eastAsia="Calibri" w:hAnsi="Calibri"/>
          <w:color w:val="1A1A1A"/>
          <w:sz w:val="22"/>
          <w:szCs w:val="22"/>
        </w:rPr>
        <w:t xml:space="preserve">But ACL is silent on the question every real leader faces hourly: </w:t>
      </w:r>
      <w:r>
        <w:rPr>
          <w:rFonts w:ascii="Calibri" w:cs="Calibri" w:eastAsia="Calibri" w:hAnsi="Calibri"/>
          <w:b/>
          <w:bCs/>
          <w:i/>
          <w:iCs/>
          <w:color w:val="1A1A1A"/>
          <w:sz w:val="22"/>
          <w:szCs w:val="22"/>
        </w:rPr>
        <w:t xml:space="preserve">where does my attention go right now?</w:t>
      </w:r>
      <w:r>
        <w:rPr>
          <w:rFonts w:ascii="Calibri" w:cs="Calibri" w:eastAsia="Calibri" w:hAnsi="Calibri"/>
          <w:color w:val="1A1A1A"/>
          <w:sz w:val="22"/>
          <w:szCs w:val="22"/>
        </w:rPr>
        <w:t xml:space="preserve"> The model names the circles; it provides no mechanism for allocating the leader across them. Is this the hour for the task, the team, or the individual — and on what evidence? Generations of officers filled the gap with judgement and experience, which works, but is not teachable — an irony, for a model whose founding purpose was to make leadership teachable. The gap is not a flaw in Adair's model; it is simply the part he left to the leader. This paper's contention is that the gap can now be filled with the same rigour Adair brought to the functions themselves.</w:t>
      </w:r>
    </w:p>
    <w:p>
      <w:r>
        <w:br w:type="page"/>
      </w:r>
    </w:p>
    <w:p>
      <w:pPr>
        <w:pStyle w:val="Heading1"/>
        <w:spacing w:after="170" w:before="320"/>
      </w:pPr>
      <w:r>
        <w:rPr>
          <w:rFonts w:ascii="Arial" w:cs="Arial" w:eastAsia="Arial" w:hAnsi="Arial"/>
          <w:b/>
          <w:bCs/>
          <w:color w:val="2F5233"/>
          <w:sz w:val="31"/>
          <w:szCs w:val="31"/>
        </w:rPr>
        <w:t xml:space="preserve">3.  The Risk-Driven Leadership thesis</w:t>
      </w:r>
    </w:p>
    <w:p>
      <w:pPr>
        <w:spacing w:after="150" w:line="276"/>
      </w:pPr>
      <w:r>
        <w:rPr>
          <w:rFonts w:ascii="Calibri" w:cs="Calibri" w:eastAsia="Calibri" w:hAnsi="Calibri"/>
          <w:color w:val="1A1A1A"/>
          <w:sz w:val="22"/>
          <w:szCs w:val="22"/>
        </w:rPr>
        <w:t xml:space="preserve">RDM defines management as the making and fulfilling of commitments under uncertainty, and drives every action from assessed risk to those commitments (FMD, The RDM Proposition). Risk-Driven Leadership applies that engine to Adair's circles by making one move: </w:t>
      </w:r>
      <w:r>
        <w:rPr>
          <w:rFonts w:ascii="Calibri" w:cs="Calibri" w:eastAsia="Calibri" w:hAnsi="Calibri"/>
          <w:b/>
          <w:bCs/>
          <w:color w:val="1A1A1A"/>
          <w:sz w:val="22"/>
          <w:szCs w:val="22"/>
        </w:rPr>
        <w:t xml:space="preserve">each circle is recognised as a commitment domain</w:t>
      </w:r>
      <w:r>
        <w:rPr>
          <w:rFonts w:ascii="Calibri" w:cs="Calibri" w:eastAsia="Calibri" w:hAnsi="Calibri"/>
          <w:color w:val="1A1A1A"/>
          <w:sz w:val="22"/>
          <w:szCs w:val="22"/>
        </w:rPr>
        <w:t xml:space="preserve">. The task circle holds a commitment; the team circle holds commitments; the individual circle holds commitments. Uncertainty presses on all three — the services would say the Threat presses on all three. Threats are identified per domain, assessed into risks against each domain's commitments, and responded to through Accept, Adapt or Change. The leader's scarcest resource — attention — is then allocated by the forecast:</w:t>
      </w:r>
    </w:p>
    <w:tbl>
      <w:tblPr>
        <w:tblW w:type="dxa" w:w="9026"/>
        <w:tblBorders>
          <w:top w:val="single" w:color="2F5233" w:sz="6"/>
          <w:left w:val="single" w:color="2F5233" w:sz="6"/>
          <w:bottom w:val="single" w:color="2F5233" w:sz="6"/>
          <w:right w:val="single" w:color="2F5233" w:sz="6"/>
          <w:insideH w:val="single" w:color="auto" w:sz="4"/>
          <w:insideV w:val="single" w:color="auto" w:sz="4"/>
        </w:tblBorders>
      </w:tblPr>
      <w:tblGrid>
        <w:gridCol w:w="9026"/>
      </w:tblGrid>
      <w:tr>
        <w:tc>
          <w:tcPr>
            <w:shd w:fill="EEF3EC" w:val="clear"/>
            <w:tcMar>
              <w:top w:type="dxa" w:w="150"/>
              <w:left w:type="dxa" w:w="210"/>
              <w:bottom w:type="dxa" w:w="150"/>
              <w:right w:type="dxa" w:w="210"/>
            </w:tcMar>
          </w:tcPr>
          <w:p>
            <w:pPr>
              <w:spacing w:after="90"/>
            </w:pPr>
            <w:r>
              <w:rPr>
                <w:rFonts w:ascii="Arial" w:cs="Arial" w:eastAsia="Arial" w:hAnsi="Arial"/>
                <w:b/>
                <w:bCs/>
                <w:color w:val="2F5233"/>
                <w:sz w:val="22"/>
                <w:szCs w:val="22"/>
              </w:rPr>
              <w:t xml:space="preserve">The allocation rule</w:t>
            </w:r>
          </w:p>
          <w:p>
            <w:pPr>
              <w:spacing w:after="80" w:line="272"/>
            </w:pPr>
            <w:r>
              <w:rPr>
                <w:rFonts w:ascii="Calibri" w:cs="Calibri" w:eastAsia="Calibri" w:hAnsi="Calibri"/>
                <w:b/>
                <w:bCs/>
                <w:color w:val="1A1A1A"/>
                <w:sz w:val="22"/>
                <w:szCs w:val="22"/>
              </w:rPr>
              <w:t xml:space="preserve">Attention follows the forecast. The leader goes where a commitment domain is most endangered — and can say why, with evidence, in one sentence.</w:t>
            </w:r>
          </w:p>
          <w:p>
            <w:pPr>
              <w:spacing w:after="80" w:line="272"/>
            </w:pPr>
            <w:r>
              <w:rPr>
                <w:rFonts w:ascii="Calibri" w:cs="Calibri" w:eastAsia="Calibri" w:hAnsi="Calibri"/>
                <w:color w:val="1A1A1A"/>
                <w:sz w:val="22"/>
                <w:szCs w:val="22"/>
              </w:rPr>
              <w:t xml:space="preserve">Corollaries: a leader permanently camped in one circle is not balancing but firefighting, and the register will show it; a leader who cannot name the top risk in each circle is not leading but presiding; and “all three circles quiet” is itself a finding — the moment to develop people, deepen the team, and scan the horizon.</w:t>
            </w:r>
          </w:p>
        </w:tc>
      </w:tr>
    </w:tbl>
    <w:p>
      <w:pPr>
        <w:spacing w:after="100"/>
      </w:pPr>
    </w:p>
    <w:p>
      <w:pPr>
        <w:spacing w:after="150" w:line="276"/>
      </w:pPr>
      <w:r>
        <w:rPr>
          <w:rFonts w:ascii="Calibri" w:cs="Calibri" w:eastAsia="Calibri" w:hAnsi="Calibri"/>
          <w:color w:val="1A1A1A"/>
          <w:sz w:val="22"/>
          <w:szCs w:val="22"/>
        </w:rPr>
        <w:t xml:space="preserve">Nothing in this replaces judgement, character, or example — Section 7 is explicit about the limits. RDL is the </w:t>
      </w:r>
      <w:r>
        <w:rPr>
          <w:rFonts w:ascii="Calibri" w:cs="Calibri" w:eastAsia="Calibri" w:hAnsi="Calibri"/>
          <w:b/>
          <w:bCs/>
          <w:color w:val="1A1A1A"/>
          <w:sz w:val="22"/>
          <w:szCs w:val="22"/>
        </w:rPr>
        <w:t xml:space="preserve">evidence spine under judgement</w:t>
      </w:r>
      <w:r>
        <w:rPr>
          <w:rFonts w:ascii="Calibri" w:cs="Calibri" w:eastAsia="Calibri" w:hAnsi="Calibri"/>
          <w:color w:val="1A1A1A"/>
          <w:sz w:val="22"/>
          <w:szCs w:val="22"/>
        </w:rPr>
        <w:t xml:space="preserve">: the same relationship RDM has to management, applied to leadership. Adair made leadership functional; RDL makes the allocation of leadership attention functional too.</w:t>
      </w:r>
    </w:p>
    <w:p>
      <w:r>
        <w:br w:type="page"/>
      </w:r>
    </w:p>
    <w:p>
      <w:pPr>
        <w:pStyle w:val="Heading1"/>
        <w:spacing w:after="170" w:before="320"/>
      </w:pPr>
      <w:r>
        <w:rPr>
          <w:rFonts w:ascii="Arial" w:cs="Arial" w:eastAsia="Arial" w:hAnsi="Arial"/>
          <w:b/>
          <w:bCs/>
          <w:color w:val="2F5233"/>
          <w:sz w:val="31"/>
          <w:szCs w:val="31"/>
        </w:rPr>
        <w:t xml:space="preserve">4.  The three circles, mapped onto RDM</w:t>
      </w:r>
    </w:p>
    <w:p>
      <w:pPr>
        <w:pStyle w:val="Heading2"/>
        <w:spacing w:after="130" w:before="240"/>
      </w:pPr>
      <w:r>
        <w:rPr>
          <w:rFonts w:ascii="Arial" w:cs="Arial" w:eastAsia="Arial" w:hAnsi="Arial"/>
          <w:b/>
          <w:bCs/>
          <w:color w:val="4A7C59"/>
          <w:sz w:val="24"/>
          <w:szCs w:val="24"/>
        </w:rPr>
        <w:t xml:space="preserve">4.1  The Task circle — the Delivery Contract</w:t>
      </w:r>
    </w:p>
    <w:p>
      <w:pPr>
        <w:spacing w:after="150" w:line="276"/>
      </w:pPr>
      <w:r>
        <w:rPr>
          <w:rFonts w:ascii="Calibri" w:cs="Calibri" w:eastAsia="Calibri" w:hAnsi="Calibri"/>
          <w:color w:val="1A1A1A"/>
          <w:sz w:val="22"/>
          <w:szCs w:val="22"/>
        </w:rPr>
        <w:t xml:space="preserve">The task is an outbound commitment, and RDM already governs it completely: an Agreed Deliverable under a Delivery Contract, defined by its three External Requirements (the Deliverable, the Exchanged Value, the Timescale), with threats assessed into risks, risks answered by Accept, Adapt or Change, and a forecast breach raising an Issue across the commitment boundary (FMD §3.1.2–3.1.5, §4.4). Nothing new is required. What RDL adds is only the observation that ACL's “achieve the task” has waited sixty years for a commitment-grade definition of achievement: </w:t>
      </w:r>
      <w:r>
        <w:rPr>
          <w:rFonts w:ascii="Calibri" w:cs="Calibri" w:eastAsia="Calibri" w:hAnsi="Calibri"/>
          <w:i/>
          <w:iCs/>
          <w:color w:val="1A1A1A"/>
          <w:sz w:val="22"/>
          <w:szCs w:val="22"/>
        </w:rPr>
        <w:t xml:space="preserve">the task is achieved when the commitment is fulfilled, and it is governed when its forecast is honest.</w:t>
      </w:r>
    </w:p>
    <w:p>
      <w:pPr>
        <w:pStyle w:val="Heading2"/>
        <w:spacing w:after="130" w:before="240"/>
      </w:pPr>
      <w:r>
        <w:rPr>
          <w:rFonts w:ascii="Arial" w:cs="Arial" w:eastAsia="Arial" w:hAnsi="Arial"/>
          <w:b/>
          <w:bCs/>
          <w:color w:val="4A7C59"/>
          <w:sz w:val="24"/>
          <w:szCs w:val="24"/>
        </w:rPr>
        <w:t xml:space="preserve">4.2  The Team circle — Internal Constraints and Warnings</w:t>
      </w:r>
    </w:p>
    <w:p>
      <w:pPr>
        <w:spacing w:after="150" w:line="276"/>
      </w:pPr>
      <w:r>
        <w:rPr>
          <w:rFonts w:ascii="Calibri" w:cs="Calibri" w:eastAsia="Calibri" w:hAnsi="Calibri"/>
          <w:color w:val="1A1A1A"/>
          <w:sz w:val="22"/>
          <w:szCs w:val="22"/>
        </w:rPr>
        <w:t xml:space="preserve">Team capability and cohesion behave exactly like RDM's Internal Constraints: standing conditions the delivery depends upon — “the watch remains fit to fight”, “the team retains the skills to deliver”, “cohesion holds under pressure” — each with a threshold, an owner, and a forecastable breach (FMD §3.1.4). Threats to this circle arrive overwhelmingly from Source 9, Resources: fatigue, attrition, an experienced hand posted away, a conflict souring the mess deck (FMD §4.1.3).</w:t>
      </w:r>
    </w:p>
    <w:p>
      <w:pPr>
        <w:spacing w:after="150" w:line="276"/>
      </w:pPr>
      <w:r>
        <w:rPr>
          <w:rFonts w:ascii="Calibri" w:cs="Calibri" w:eastAsia="Calibri" w:hAnsi="Calibri"/>
          <w:color w:val="1A1A1A"/>
          <w:sz w:val="22"/>
          <w:szCs w:val="22"/>
        </w:rPr>
        <w:t xml:space="preserve">Note which mechanism fires. A team-circle breach raises a </w:t>
      </w:r>
      <w:r>
        <w:rPr>
          <w:rFonts w:ascii="Calibri" w:cs="Calibri" w:eastAsia="Calibri" w:hAnsi="Calibri"/>
          <w:b/>
          <w:bCs/>
          <w:color w:val="1A1A1A"/>
          <w:sz w:val="22"/>
          <w:szCs w:val="22"/>
        </w:rPr>
        <w:t xml:space="preserve">Warning</w:t>
      </w:r>
      <w:r>
        <w:rPr>
          <w:rFonts w:ascii="Calibri" w:cs="Calibri" w:eastAsia="Calibri" w:hAnsi="Calibri"/>
          <w:color w:val="1A1A1A"/>
          <w:sz w:val="22"/>
          <w:szCs w:val="22"/>
        </w:rPr>
        <w:t xml:space="preserve">, not an Issue — it routes inward, to whoever owns the people-policy, and never crosses the boundary to the customer of the task (FMD §3.1.16). This is RDM's two-directions-of-harm structure appearing, unbidden, inside a leadership model conceived in the 1960s: </w:t>
      </w:r>
      <w:r>
        <w:rPr>
          <w:rFonts w:ascii="Calibri" w:cs="Calibri" w:eastAsia="Calibri" w:hAnsi="Calibri"/>
          <w:b/>
          <w:bCs/>
          <w:i/>
          <w:iCs/>
          <w:color w:val="1A1A1A"/>
          <w:sz w:val="22"/>
          <w:szCs w:val="22"/>
        </w:rPr>
        <w:t xml:space="preserve">the task circle harms outward; the team circle harms inward.</w:t>
      </w:r>
      <w:r>
        <w:rPr>
          <w:rFonts w:ascii="Calibri" w:cs="Calibri" w:eastAsia="Calibri" w:hAnsi="Calibri"/>
          <w:color w:val="1A1A1A"/>
          <w:sz w:val="22"/>
          <w:szCs w:val="22"/>
        </w:rPr>
        <w:t xml:space="preserve"> The correspondence was not designed — which is the strongest evidence the mapping is real rather than forced.</w:t>
      </w:r>
    </w:p>
    <w:p>
      <w:pPr>
        <w:pStyle w:val="Heading2"/>
        <w:spacing w:after="130" w:before="240"/>
      </w:pPr>
      <w:r>
        <w:rPr>
          <w:rFonts w:ascii="Arial" w:cs="Arial" w:eastAsia="Arial" w:hAnsi="Arial"/>
          <w:b/>
          <w:bCs/>
          <w:color w:val="4A7C59"/>
          <w:sz w:val="24"/>
          <w:szCs w:val="24"/>
        </w:rPr>
        <w:t xml:space="preserve">4.3  The Individual circle — the psychological contract, formalised</w:t>
      </w:r>
    </w:p>
    <w:p>
      <w:pPr>
        <w:spacing w:after="150" w:line="276"/>
      </w:pPr>
      <w:r>
        <w:rPr>
          <w:rFonts w:ascii="Calibri" w:cs="Calibri" w:eastAsia="Calibri" w:hAnsi="Calibri"/>
          <w:color w:val="1A1A1A"/>
          <w:sz w:val="22"/>
          <w:szCs w:val="22"/>
        </w:rPr>
        <w:t xml:space="preserve">The commitment in the individual circle runs both ways: the individual commits effort, skill and loyalty to the task and team; the leader commits development, fairness and welfare to the individual. Management theory has long called this the </w:t>
      </w:r>
      <w:r>
        <w:rPr>
          <w:rFonts w:ascii="Calibri" w:cs="Calibri" w:eastAsia="Calibri" w:hAnsi="Calibri"/>
          <w:b/>
          <w:bCs/>
          <w:color w:val="1A1A1A"/>
          <w:sz w:val="22"/>
          <w:szCs w:val="22"/>
        </w:rPr>
        <w:t xml:space="preserve">psychological contract</w:t>
      </w:r>
      <w:r>
        <w:rPr>
          <w:rFonts w:ascii="Calibri" w:cs="Calibri" w:eastAsia="Calibri" w:hAnsi="Calibri"/>
          <w:color w:val="1A1A1A"/>
          <w:sz w:val="22"/>
          <w:szCs w:val="22"/>
        </w:rPr>
        <w:t xml:space="preserve"> — and has long lamented that it is informal. In RDM terms, informal means ungoverned: a commitment with no stated requirements, no thresholds, and unassessed threats.</w:t>
      </w:r>
    </w:p>
    <w:p>
      <w:pPr>
        <w:spacing w:after="150" w:line="276"/>
      </w:pPr>
      <w:r>
        <w:rPr>
          <w:rFonts w:ascii="Calibri" w:cs="Calibri" w:eastAsia="Calibri" w:hAnsi="Calibri"/>
          <w:color w:val="1A1A1A"/>
          <w:sz w:val="22"/>
          <w:szCs w:val="22"/>
        </w:rPr>
        <w:t xml:space="preserve">The Royal Navy solved this decades ago, informally, in the </w:t>
      </w:r>
      <w:r>
        <w:rPr>
          <w:rFonts w:ascii="Calibri" w:cs="Calibri" w:eastAsia="Calibri" w:hAnsi="Calibri"/>
          <w:b/>
          <w:bCs/>
          <w:color w:val="1A1A1A"/>
          <w:sz w:val="22"/>
          <w:szCs w:val="22"/>
        </w:rPr>
        <w:t xml:space="preserve">Divisional System</w:t>
      </w:r>
      <w:r>
        <w:rPr>
          <w:rFonts w:ascii="Calibri" w:cs="Calibri" w:eastAsia="Calibri" w:hAnsi="Calibri"/>
          <w:color w:val="1A1A1A"/>
          <w:sz w:val="22"/>
          <w:szCs w:val="22"/>
        </w:rPr>
        <w:t xml:space="preserve">: every rating belongs to a division, and every division has a Divisional Officer accountable for knowing their people — the mortgage trouble, the sick parent, the promotion board looming, the ambition worth backing. A good Divisional Officer keeps, in their head, precisely the register RDL would formalise: the standing commitments to each person, the threats pressing on them, and the forecast of where a quiet word or an early intervention is needed. Risk-Driven Leadership does not invent the individual circle's machinery; </w:t>
      </w:r>
      <w:r>
        <w:rPr>
          <w:rFonts w:ascii="Calibri" w:cs="Calibri" w:eastAsia="Calibri" w:hAnsi="Calibri"/>
          <w:b/>
          <w:bCs/>
          <w:color w:val="1A1A1A"/>
          <w:sz w:val="22"/>
          <w:szCs w:val="22"/>
        </w:rPr>
        <w:t xml:space="preserve">it writes down what good Divisional Officers have always done</w:t>
      </w:r>
      <w:r>
        <w:rPr>
          <w:rFonts w:ascii="Calibri" w:cs="Calibri" w:eastAsia="Calibri" w:hAnsi="Calibri"/>
          <w:color w:val="1A1A1A"/>
          <w:sz w:val="22"/>
          <w:szCs w:val="22"/>
        </w:rPr>
        <w:t xml:space="preserve">, and gives it thresholds, triggers, and the dignity of method.</w:t>
      </w:r>
    </w:p>
    <w:tbl>
      <w:tblPr>
        <w:tblW w:type="dxa" w:w="9026"/>
        <w:tblBorders>
          <w:top w:val="single" w:color="2F5233" w:sz="6"/>
          <w:left w:val="single" w:color="2F5233" w:sz="6"/>
          <w:bottom w:val="single" w:color="2F5233" w:sz="6"/>
          <w:right w:val="single" w:color="2F5233" w:sz="6"/>
          <w:insideH w:val="single" w:color="auto" w:sz="4"/>
          <w:insideV w:val="single" w:color="auto" w:sz="4"/>
        </w:tblBorders>
      </w:tblPr>
      <w:tblGrid>
        <w:gridCol w:w="9026"/>
      </w:tblGrid>
      <w:tr>
        <w:tc>
          <w:tcPr>
            <w:shd w:fill="EEF3EC" w:val="clear"/>
            <w:tcMar>
              <w:top w:type="dxa" w:w="150"/>
              <w:left w:type="dxa" w:w="210"/>
              <w:bottom w:type="dxa" w:w="150"/>
              <w:right w:type="dxa" w:w="210"/>
            </w:tcMar>
          </w:tcPr>
          <w:p>
            <w:pPr>
              <w:spacing w:after="90"/>
            </w:pPr>
            <w:r>
              <w:rPr>
                <w:rFonts w:ascii="Arial" w:cs="Arial" w:eastAsia="Arial" w:hAnsi="Arial"/>
                <w:b/>
                <w:bCs/>
                <w:color w:val="2F5233"/>
                <w:sz w:val="22"/>
                <w:szCs w:val="22"/>
              </w:rPr>
              <w:t xml:space="preserve">The guardrail — stated at the foundation, not as an afterthought</w:t>
            </w:r>
          </w:p>
          <w:p>
            <w:pPr>
              <w:spacing w:after="80" w:line="272"/>
            </w:pPr>
            <w:r>
              <w:rPr>
                <w:rFonts w:ascii="Calibri" w:cs="Calibri" w:eastAsia="Calibri" w:hAnsi="Calibri"/>
                <w:b/>
                <w:bCs/>
                <w:color w:val="1A1A1A"/>
                <w:sz w:val="22"/>
                <w:szCs w:val="22"/>
              </w:rPr>
              <w:t xml:space="preserve">What is formalised is the leader's attention discipline — that no individual's circumstances go unconsidered — never a dossier on the person. </w:t>
            </w:r>
            <w:r>
              <w:rPr>
                <w:rFonts w:ascii="Calibri" w:cs="Calibri" w:eastAsia="Calibri" w:hAnsi="Calibri"/>
                <w:color w:val="1A1A1A"/>
                <w:sz w:val="22"/>
                <w:szCs w:val="22"/>
              </w:rPr>
              <w:t xml:space="preserve">A crude reading of this circle produces “a risk register on each subordinate”, which is surveillance, not leadership. The register belongs to the leader's obligations, not the individual's file; its entries are the leader's commitments and the threats to them; and its test is the Divisional System's test — would the individual, reading it, recognise care rather than scrutiny?</w:t>
            </w:r>
          </w:p>
        </w:tc>
      </w:tr>
    </w:tbl>
    <w:p>
      <w:r>
        <w:br w:type="page"/>
      </w:r>
    </w:p>
    <w:p>
      <w:pPr>
        <w:pStyle w:val="Heading1"/>
        <w:spacing w:after="170" w:before="320"/>
      </w:pPr>
      <w:r>
        <w:rPr>
          <w:rFonts w:ascii="Arial" w:cs="Arial" w:eastAsia="Arial" w:hAnsi="Arial"/>
          <w:b/>
          <w:bCs/>
          <w:color w:val="2F5233"/>
          <w:sz w:val="31"/>
          <w:szCs w:val="31"/>
        </w:rPr>
        <w:t xml:space="preserve">5.  The military correspondences</w:t>
      </w:r>
    </w:p>
    <w:p>
      <w:pPr>
        <w:spacing w:after="150" w:line="276"/>
      </w:pPr>
      <w:r>
        <w:rPr>
          <w:rFonts w:ascii="Calibri" w:cs="Calibri" w:eastAsia="Calibri" w:hAnsi="Calibri"/>
          <w:color w:val="1A1A1A"/>
          <w:sz w:val="22"/>
          <w:szCs w:val="22"/>
        </w:rPr>
        <w:t xml:space="preserve">The services never exported their risk grammar into leadership doctrine — but they have operated it for generations. The table below runs the correspondences between military practice (in the vocabulary a 1979 officer would recognise, with the modern term where it differs) and the RDM machinery. The reader is invited to test each row; the paper's credibility rests on their exactness.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100"/>
        <w:gridCol w:w="3100"/>
        <w:gridCol w:w="2826"/>
      </w:tblGrid>
      <w:tr>
        <w:trPr>
          <w:tblHeader/>
        </w:trPr>
        <w:tc>
          <w:tcPr>
            <w:tcW w:type="dxa" w:w="3100"/>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Military practice</w:t>
            </w:r>
          </w:p>
        </w:tc>
        <w:tc>
          <w:tcPr>
            <w:tcW w:type="dxa" w:w="3100"/>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RDM mechanism</w:t>
            </w:r>
          </w:p>
        </w:tc>
        <w:tc>
          <w:tcPr>
            <w:tcW w:type="dxa" w:w="2826"/>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The correspondence</w:t>
            </w:r>
          </w:p>
        </w:tc>
      </w:tr>
      <w:tr>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Appreciation (today: the estimate) — situation, factors, courses open, assessed against the aim</w:t>
            </w:r>
          </w:p>
        </w:tc>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TAP — the Threat Assessment Process (FMD §4.2)</w:t>
            </w:r>
          </w:p>
        </w:tc>
        <w:tc>
          <w:tcPr>
            <w:tcW w:type="dxa" w:w="282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Both are structured private judgement: relevance, impact and likelihood assessed against a specific commitment before any action is chosen.</w:t>
            </w:r>
          </w:p>
        </w:tc>
      </w:tr>
      <w:tr>
        <w:tc>
          <w:tcPr>
            <w:tcW w:type="dxa" w:w="31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Mission Command — commander's intent stated, constraints given, execution delegated; no reaching down</w:t>
            </w:r>
          </w:p>
        </w:tc>
        <w:tc>
          <w:tcPr>
            <w:tcW w:type="dxa" w:w="31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Delivery Contract + Workspace Boundary (FMD §3.1.1, §3.1.5)</w:t>
            </w:r>
          </w:p>
        </w:tc>
        <w:tc>
          <w:tcPr>
            <w:tcW w:type="dxa" w:w="2826"/>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State the what and why, delegate the how. RDM's rule that no one reaches inside a subordinate's registers is Auftragstaktik in governance form.</w:t>
            </w:r>
          </w:p>
        </w:tc>
      </w:tr>
      <w:tr>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CCIRs — Commander's Critical Information Requirements: “wake me if X”</w:t>
            </w:r>
          </w:p>
        </w:tc>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Triggers (FMD §4.3.3 Step 5)</w:t>
            </w:r>
          </w:p>
        </w:tc>
        <w:tc>
          <w:tcPr>
            <w:tcW w:type="dxa" w:w="282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Pre-defined conditions that re-enter the decision process. The correspondence is verbatim.</w:t>
            </w:r>
          </w:p>
        </w:tc>
      </w:tr>
      <w:tr>
        <w:tc>
          <w:tcPr>
            <w:tcW w:type="dxa" w:w="31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Branches and sequels — contingency plans prepared against foreseen developments</w:t>
            </w:r>
          </w:p>
        </w:tc>
        <w:tc>
          <w:tcPr>
            <w:tcW w:type="dxa" w:w="31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Pre-defined responses (FMD §4.3.3 Step 3)</w:t>
            </w:r>
          </w:p>
        </w:tc>
        <w:tc>
          <w:tcPr>
            <w:tcW w:type="dxa" w:w="2826"/>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Responses authored before the event, attached to the threat that would invoke them.</w:t>
            </w:r>
          </w:p>
        </w:tc>
      </w:tr>
      <w:tr>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reserve — held out of contact, committed by decision</w:t>
            </w:r>
          </w:p>
        </w:tc>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Contingency (FMD §3.1.6)</w:t>
            </w:r>
          </w:p>
        </w:tc>
        <w:tc>
          <w:tcPr>
            <w:tcW w:type="dxa" w:w="282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A buffer sized to identified risk, spent only by explicit authority.</w:t>
            </w:r>
          </w:p>
        </w:tc>
      </w:tr>
      <w:tr>
        <w:tc>
          <w:tcPr>
            <w:tcW w:type="dxa" w:w="31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Hold — manoeuvre — request new orders</w:t>
            </w:r>
          </w:p>
        </w:tc>
        <w:tc>
          <w:tcPr>
            <w:tcW w:type="dxa" w:w="31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Accept — Adapt — Change (FMD §4.4)</w:t>
            </w:r>
          </w:p>
        </w:tc>
        <w:tc>
          <w:tcPr>
            <w:tcW w:type="dxa" w:w="2826"/>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Three responses, exhaustive; the forecast, not preference, determines which.</w:t>
            </w:r>
          </w:p>
        </w:tc>
      </w:tr>
      <w:tr>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“Mission no longer achievable as tasked” — the hardest signal an officer sends</w:t>
            </w:r>
          </w:p>
        </w:tc>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Red Issue (FMD §3.1.15)</w:t>
            </w:r>
          </w:p>
        </w:tc>
        <w:tc>
          <w:tcPr>
            <w:tcW w:type="dxa" w:w="282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RDM renders it formal, mandatory, and blameless: reaching Change through no fault of your own is not failure; concealing a forecast breach is.</w:t>
            </w:r>
          </w:p>
        </w:tc>
      </w:tr>
      <w:tr>
        <w:tc>
          <w:tcPr>
            <w:tcW w:type="dxa" w:w="31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Act on enemy capability and intent, not after being overrun</w:t>
            </w:r>
          </w:p>
        </w:tc>
        <w:tc>
          <w:tcPr>
            <w:tcW w:type="dxa" w:w="31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RAG moves only on forecast (FMD §3.1.6)</w:t>
            </w:r>
          </w:p>
        </w:tc>
        <w:tc>
          <w:tcPr>
            <w:tcW w:type="dxa" w:w="2826"/>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Status reflects the forecast, never the comfort of a plan in motion.</w:t>
            </w:r>
          </w:p>
        </w:tc>
      </w:tr>
      <w:tr>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Coordinate with the flanks; engage the formation that owns the problem</w:t>
            </w:r>
          </w:p>
        </w:tc>
        <w:tc>
          <w:tcPr>
            <w:tcW w:type="dxa" w:w="31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Threat cause ownership — no escalation (FMD §3.5)</w:t>
            </w:r>
          </w:p>
        </w:tc>
        <w:tc>
          <w:tcPr>
            <w:tcW w:type="dxa" w:w="282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Engage the owner of the cause directly, laterally if need be, while managing the impact yourself.</w:t>
            </w:r>
          </w:p>
        </w:tc>
      </w:tr>
    </w:tbl>
    <w:p>
      <w:pPr>
        <w:spacing w:after="100"/>
      </w:pPr>
    </w:p>
    <w:p>
      <w:pPr>
        <w:spacing w:after="150" w:line="276"/>
      </w:pPr>
      <w:r>
        <w:rPr>
          <w:rFonts w:ascii="Calibri" w:cs="Calibri" w:eastAsia="Calibri" w:hAnsi="Calibri"/>
          <w:color w:val="1A1A1A"/>
          <w:sz w:val="22"/>
          <w:szCs w:val="22"/>
        </w:rPr>
        <w:t xml:space="preserve">One row deserves a sentence more. Every officer knows the weight of “mission no longer achievable” — required, and career-testing. RDM's Red Issue is that signal with the fear engineered out: it is the only entity permitted to cross the commitment boundary, it is mandatory once the forecast breaches tolerance, and the framework's operating rules make sending it a duty discharged rather than an admission extracted. A leadership culture built on RDL inherits that: </w:t>
      </w:r>
      <w:r>
        <w:rPr>
          <w:rFonts w:ascii="Calibri" w:cs="Calibri" w:eastAsia="Calibri" w:hAnsi="Calibri"/>
          <w:b/>
          <w:bCs/>
          <w:i/>
          <w:iCs/>
          <w:color w:val="1A1A1A"/>
          <w:sz w:val="22"/>
          <w:szCs w:val="22"/>
        </w:rPr>
        <w:t xml:space="preserve">honesty about the forecast is the system working, not the leader failing.</w:t>
      </w:r>
    </w:p>
    <w:p>
      <w:r>
        <w:br w:type="page"/>
      </w:r>
    </w:p>
    <w:p>
      <w:pPr>
        <w:pStyle w:val="Heading1"/>
        <w:spacing w:after="170" w:before="320"/>
      </w:pPr>
      <w:r>
        <w:rPr>
          <w:rFonts w:ascii="Arial" w:cs="Arial" w:eastAsia="Arial" w:hAnsi="Arial"/>
          <w:b/>
          <w:bCs/>
          <w:color w:val="2F5233"/>
          <w:sz w:val="31"/>
          <w:szCs w:val="31"/>
        </w:rPr>
        <w:t xml:space="preserve">6.  What each gives the other</w:t>
      </w:r>
    </w:p>
    <w:p>
      <w:pPr>
        <w:pStyle w:val="Heading2"/>
        <w:spacing w:after="130" w:before="240"/>
      </w:pPr>
      <w:r>
        <w:rPr>
          <w:rFonts w:ascii="Arial" w:cs="Arial" w:eastAsia="Arial" w:hAnsi="Arial"/>
          <w:b/>
          <w:bCs/>
          <w:color w:val="4A7C59"/>
          <w:sz w:val="24"/>
          <w:szCs w:val="24"/>
        </w:rPr>
        <w:t xml:space="preserve">What RDM gives ACL</w:t>
      </w:r>
    </w:p>
    <w:p>
      <w:pPr>
        <w:spacing w:after="150" w:line="276"/>
      </w:pPr>
      <w:r>
        <w:rPr>
          <w:rFonts w:ascii="Calibri" w:cs="Calibri" w:eastAsia="Calibri" w:hAnsi="Calibri"/>
          <w:b/>
          <w:bCs/>
          <w:color w:val="1A1A1A"/>
          <w:sz w:val="22"/>
          <w:szCs w:val="22"/>
        </w:rPr>
        <w:t xml:space="preserve">The allocation mechanism </w:t>
      </w:r>
      <w:r>
        <w:rPr>
          <w:rFonts w:ascii="Calibri" w:cs="Calibri" w:eastAsia="Calibri" w:hAnsi="Calibri"/>
          <w:color w:val="1A1A1A"/>
          <w:sz w:val="22"/>
          <w:szCs w:val="22"/>
        </w:rPr>
        <w:t xml:space="preserve">— attention driven by forecast risk per commitment domain, filling the model's sixty-year gap with something teachable. </w:t>
      </w:r>
      <w:r>
        <w:rPr>
          <w:rFonts w:ascii="Calibri" w:cs="Calibri" w:eastAsia="Calibri" w:hAnsi="Calibri"/>
          <w:b/>
          <w:bCs/>
          <w:color w:val="1A1A1A"/>
          <w:sz w:val="22"/>
          <w:szCs w:val="22"/>
        </w:rPr>
        <w:t xml:space="preserve">The communication protocol </w:t>
      </w:r>
      <w:r>
        <w:rPr>
          <w:rFonts w:ascii="Calibri" w:cs="Calibri" w:eastAsia="Calibri" w:hAnsi="Calibri"/>
          <w:color w:val="1A1A1A"/>
          <w:sz w:val="22"/>
          <w:szCs w:val="22"/>
        </w:rPr>
        <w:t xml:space="preserve">— Issues outward for the task, Warnings inward for the team and the individual, so leadership concerns route to owners instead of dissipating in corridors. </w:t>
      </w:r>
      <w:r>
        <w:rPr>
          <w:rFonts w:ascii="Calibri" w:cs="Calibri" w:eastAsia="Calibri" w:hAnsi="Calibri"/>
          <w:b/>
          <w:bCs/>
          <w:color w:val="1A1A1A"/>
          <w:sz w:val="22"/>
          <w:szCs w:val="22"/>
        </w:rPr>
        <w:t xml:space="preserve">The evidence discipline </w:t>
      </w:r>
      <w:r>
        <w:rPr>
          <w:rFonts w:ascii="Calibri" w:cs="Calibri" w:eastAsia="Calibri" w:hAnsi="Calibri"/>
          <w:color w:val="1A1A1A"/>
          <w:sz w:val="22"/>
          <w:szCs w:val="22"/>
        </w:rPr>
        <w:t xml:space="preserve">— a leader who can name the top risk in each circle, its probability, and its trigger, is exercising Adair's functions of controlling and evaluating with an audit trail. </w:t>
      </w:r>
      <w:r>
        <w:rPr>
          <w:rFonts w:ascii="Calibri" w:cs="Calibri" w:eastAsia="Calibri" w:hAnsi="Calibri"/>
          <w:b/>
          <w:bCs/>
          <w:color w:val="1A1A1A"/>
          <w:sz w:val="22"/>
          <w:szCs w:val="22"/>
        </w:rPr>
        <w:t xml:space="preserve">The anti-escalation rule </w:t>
      </w:r>
      <w:r>
        <w:rPr>
          <w:rFonts w:ascii="Calibri" w:cs="Calibri" w:eastAsia="Calibri" w:hAnsi="Calibri"/>
          <w:color w:val="1A1A1A"/>
          <w:sz w:val="22"/>
          <w:szCs w:val="22"/>
        </w:rPr>
        <w:t xml:space="preserve">— cause ownership is thoroughly Mission Command in spirit, and gives ACL's “team” circle a mechanism for problems whose causes sit outside the leader's own workspace.</w:t>
      </w:r>
    </w:p>
    <w:p>
      <w:pPr>
        <w:pStyle w:val="Heading2"/>
        <w:spacing w:after="130" w:before="240"/>
      </w:pPr>
      <w:r>
        <w:rPr>
          <w:rFonts w:ascii="Arial" w:cs="Arial" w:eastAsia="Arial" w:hAnsi="Arial"/>
          <w:b/>
          <w:bCs/>
          <w:color w:val="4A7C59"/>
          <w:sz w:val="24"/>
          <w:szCs w:val="24"/>
        </w:rPr>
        <w:t xml:space="preserve">What ACL gives RDM</w:t>
      </w:r>
    </w:p>
    <w:p>
      <w:pPr>
        <w:spacing w:after="150" w:line="276"/>
      </w:pPr>
      <w:r>
        <w:rPr>
          <w:rFonts w:ascii="Calibri" w:cs="Calibri" w:eastAsia="Calibri" w:hAnsi="Calibri"/>
          <w:b/>
          <w:bCs/>
          <w:color w:val="1A1A1A"/>
          <w:sz w:val="22"/>
          <w:szCs w:val="22"/>
        </w:rPr>
        <w:t xml:space="preserve">A face for the human domain </w:t>
      </w:r>
      <w:r>
        <w:rPr>
          <w:rFonts w:ascii="Calibri" w:cs="Calibri" w:eastAsia="Calibri" w:hAnsi="Calibri"/>
          <w:color w:val="1A1A1A"/>
          <w:sz w:val="22"/>
          <w:szCs w:val="22"/>
        </w:rPr>
        <w:t xml:space="preserve">— RDM's registers govern commitments; ACL insists two of the three domains of leadership are made of people, and supplies the vocabulary (team maintenance, individual needs) that RDM's constraint machinery can carry without inventing new concepts. </w:t>
      </w:r>
      <w:r>
        <w:rPr>
          <w:rFonts w:ascii="Calibri" w:cs="Calibri" w:eastAsia="Calibri" w:hAnsi="Calibri"/>
          <w:b/>
          <w:bCs/>
          <w:color w:val="1A1A1A"/>
          <w:sz w:val="22"/>
          <w:szCs w:val="22"/>
        </w:rPr>
        <w:t xml:space="preserve">A heritage </w:t>
      </w:r>
      <w:r>
        <w:rPr>
          <w:rFonts w:ascii="Calibri" w:cs="Calibri" w:eastAsia="Calibri" w:hAnsi="Calibri"/>
          <w:color w:val="1A1A1A"/>
          <w:sz w:val="22"/>
          <w:szCs w:val="22"/>
        </w:rPr>
        <w:t xml:space="preserve">— a lineage running from Sandhurst through Dartmouth into a 2026 framework is a story no competing methodology can tell, and it grounds RDL in six decades of practice rather than novelty. </w:t>
      </w:r>
      <w:r>
        <w:rPr>
          <w:rFonts w:ascii="Calibri" w:cs="Calibri" w:eastAsia="Calibri" w:hAnsi="Calibri"/>
          <w:b/>
          <w:bCs/>
          <w:color w:val="1A1A1A"/>
          <w:sz w:val="22"/>
          <w:szCs w:val="22"/>
        </w:rPr>
        <w:t xml:space="preserve">A proof of generality </w:t>
      </w:r>
      <w:r>
        <w:rPr>
          <w:rFonts w:ascii="Calibri" w:cs="Calibri" w:eastAsia="Calibri" w:hAnsi="Calibri"/>
          <w:color w:val="1A1A1A"/>
          <w:sz w:val="22"/>
          <w:szCs w:val="22"/>
        </w:rPr>
        <w:t xml:space="preserve">— if RDM's grammar completes a leadership model it was never designed to meet, the grammar is describing something real about commitments under uncertainty, not merely about projects.</w:t>
      </w:r>
    </w:p>
    <w:p>
      <w:r>
        <w:br w:type="page"/>
      </w:r>
    </w:p>
    <w:p>
      <w:pPr>
        <w:pStyle w:val="Heading1"/>
        <w:spacing w:after="170" w:before="320"/>
      </w:pPr>
      <w:r>
        <w:rPr>
          <w:rFonts w:ascii="Arial" w:cs="Arial" w:eastAsia="Arial" w:hAnsi="Arial"/>
          <w:b/>
          <w:bCs/>
          <w:color w:val="2F5233"/>
          <w:sz w:val="31"/>
          <w:szCs w:val="31"/>
        </w:rPr>
        <w:t xml:space="preserve">7.  Limits — stated plainly</w:t>
      </w:r>
    </w:p>
    <w:p>
      <w:pPr>
        <w:spacing w:after="150" w:line="276"/>
      </w:pPr>
      <w:r>
        <w:rPr>
          <w:rFonts w:ascii="Calibri" w:cs="Calibri" w:eastAsia="Calibri" w:hAnsi="Calibri"/>
          <w:color w:val="1A1A1A"/>
          <w:sz w:val="22"/>
          <w:szCs w:val="22"/>
        </w:rPr>
        <w:t xml:space="preserve">RDL will be attacked at its edges, and should pre-empt the attack by drawing the edges itself.</w:t>
      </w:r>
    </w:p>
    <w:p>
      <w:pPr>
        <w:spacing w:after="150" w:line="276"/>
      </w:pPr>
      <w:r>
        <w:rPr>
          <w:rFonts w:ascii="Calibri" w:cs="Calibri" w:eastAsia="Calibri" w:hAnsi="Calibri"/>
          <w:b/>
          <w:bCs/>
          <w:color w:val="1A1A1A"/>
          <w:sz w:val="22"/>
          <w:szCs w:val="22"/>
        </w:rPr>
        <w:t xml:space="preserve">Leadership's core is not formalisable. </w:t>
      </w:r>
      <w:r>
        <w:rPr>
          <w:rFonts w:ascii="Calibri" w:cs="Calibri" w:eastAsia="Calibri" w:hAnsi="Calibri"/>
          <w:color w:val="1A1A1A"/>
          <w:sz w:val="22"/>
          <w:szCs w:val="22"/>
        </w:rPr>
        <w:t xml:space="preserve">Character, example, moral courage, the ability to make people want to follow — none of this reduces to registers, and RDL must never pretend otherwise. Adair's function of “setting an example” has no threat register, and a leader who is evidentially impeccable and humanly absent has failed at leadership while passing at administration. The claim is narrower and stronger: RDL is the evidence spine under judgement, not a replacement for it.</w:t>
      </w:r>
    </w:p>
    <w:p>
      <w:pPr>
        <w:spacing w:after="150" w:line="276"/>
      </w:pPr>
      <w:r>
        <w:rPr>
          <w:rFonts w:ascii="Calibri" w:cs="Calibri" w:eastAsia="Calibri" w:hAnsi="Calibri"/>
          <w:b/>
          <w:bCs/>
          <w:color w:val="1A1A1A"/>
          <w:sz w:val="22"/>
          <w:szCs w:val="22"/>
        </w:rPr>
        <w:t xml:space="preserve">The individual circle can be corrupted. </w:t>
      </w:r>
      <w:r>
        <w:rPr>
          <w:rFonts w:ascii="Calibri" w:cs="Calibri" w:eastAsia="Calibri" w:hAnsi="Calibri"/>
          <w:color w:val="1A1A1A"/>
          <w:sz w:val="22"/>
          <w:szCs w:val="22"/>
        </w:rPr>
        <w:t xml:space="preserve">Section 4.3's guardrail bears repeating as a limit: formalise the leader's attention discipline, never a dossier on the person. The Divisional System's ethic — care, made systematic — is the design authority for this circle, and any implementation that an individual would read as scrutiny rather than care has left RDL and entered surveillance.</w:t>
      </w:r>
    </w:p>
    <w:p>
      <w:pPr>
        <w:spacing w:after="150" w:line="276"/>
      </w:pPr>
      <w:r>
        <w:rPr>
          <w:rFonts w:ascii="Calibri" w:cs="Calibri" w:eastAsia="Calibri" w:hAnsi="Calibri"/>
          <w:b/>
          <w:bCs/>
          <w:color w:val="1A1A1A"/>
          <w:sz w:val="22"/>
          <w:szCs w:val="22"/>
        </w:rPr>
        <w:t xml:space="preserve">Morale is not a metric. </w:t>
      </w:r>
      <w:r>
        <w:rPr>
          <w:rFonts w:ascii="Calibri" w:cs="Calibri" w:eastAsia="Calibri" w:hAnsi="Calibri"/>
          <w:color w:val="1A1A1A"/>
          <w:sz w:val="22"/>
          <w:szCs w:val="22"/>
        </w:rPr>
        <w:t xml:space="preserve">Team-circle thresholds (“fit to fight”, “cohesion holds”) are judgements a leader owns, informed by evidence — not scores extracted from people. RDM's own rule applies: probability and impact are the accountable manager's assessed judgement, documented and reviewable, not a survey artefact (FMD §4.2).</w:t>
      </w:r>
    </w:p>
    <w:p>
      <w:pPr>
        <w:spacing w:after="150" w:line="276"/>
      </w:pPr>
      <w:r>
        <w:rPr>
          <w:rFonts w:ascii="Calibri" w:cs="Calibri" w:eastAsia="Calibri" w:hAnsi="Calibri"/>
          <w:b/>
          <w:bCs/>
          <w:color w:val="1A1A1A"/>
          <w:sz w:val="22"/>
          <w:szCs w:val="22"/>
        </w:rPr>
        <w:t xml:space="preserve">The mapping is proposed, not proven. </w:t>
      </w:r>
      <w:r>
        <w:rPr>
          <w:rFonts w:ascii="Calibri" w:cs="Calibri" w:eastAsia="Calibri" w:hAnsi="Calibri"/>
          <w:color w:val="1A1A1A"/>
          <w:sz w:val="22"/>
          <w:szCs w:val="22"/>
        </w:rPr>
        <w:t xml:space="preserve">This paper argues the correspondence is exact; it has not yet been exercised with serving or former leaders against real cases. That exercise — the concept's own TAP — is the necessary next step before any elevation beyond exploratory status.</w:t>
      </w:r>
    </w:p>
    <w:p>
      <w:r>
        <w:br w:type="page"/>
      </w:r>
    </w:p>
    <w:p>
      <w:pPr>
        <w:pStyle w:val="Heading1"/>
        <w:spacing w:after="170" w:before="320"/>
      </w:pPr>
      <w:r>
        <w:rPr>
          <w:rFonts w:ascii="Arial" w:cs="Arial" w:eastAsia="Arial" w:hAnsi="Arial"/>
          <w:b/>
          <w:bCs/>
          <w:color w:val="2F5233"/>
          <w:sz w:val="31"/>
          <w:szCs w:val="31"/>
        </w:rPr>
        <w:t xml:space="preserve">8.  A sketch of RDL in practice</w:t>
      </w:r>
    </w:p>
    <w:p>
      <w:pPr>
        <w:spacing w:after="150" w:line="276"/>
      </w:pPr>
      <w:r>
        <w:rPr>
          <w:rFonts w:ascii="Calibri" w:cs="Calibri" w:eastAsia="Calibri" w:hAnsi="Calibri"/>
          <w:color w:val="1A1A1A"/>
          <w:sz w:val="22"/>
          <w:szCs w:val="22"/>
        </w:rPr>
        <w:t xml:space="preserve">A department head — afloat or ashore, uniformed or civilian — runs the rhythm below. It is deliberately light: three registers thin enough to live in a notebook, and a weekly discipline measured in minutes.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300"/>
        <w:gridCol w:w="6726"/>
      </w:tblGrid>
      <w:tr>
        <w:trPr>
          <w:tblHeader/>
        </w:trPr>
        <w:tc>
          <w:tcPr>
            <w:tcW w:type="dxa" w:w="2300"/>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Rhythm</w:t>
            </w:r>
          </w:p>
        </w:tc>
        <w:tc>
          <w:tcPr>
            <w:tcW w:type="dxa" w:w="6726"/>
            <w:shd w:fill="2F5233" w:val="clear"/>
            <w:tcMar>
              <w:top w:type="dxa" w:w="75"/>
              <w:left w:type="dxa" w:w="115"/>
              <w:bottom w:type="dxa" w:w="75"/>
              <w:right w:type="dxa" w:w="115"/>
            </w:tcMar>
            <w:vAlign w:val="center"/>
          </w:tcPr>
          <w:p>
            <w:pPr>
              <w:spacing w:after="30" w:line="254"/>
            </w:pPr>
            <w:r>
              <w:rPr>
                <w:rFonts w:ascii="Arial" w:cs="Arial" w:eastAsia="Arial" w:hAnsi="Arial"/>
                <w:b/>
                <w:bCs/>
                <w:color w:val="FFFFFF"/>
                <w:sz w:val="20"/>
                <w:szCs w:val="20"/>
              </w:rPr>
              <w:t xml:space="preserve">Practice</w:t>
            </w:r>
          </w:p>
        </w:tc>
      </w:tr>
      <w:tr>
        <w:tc>
          <w:tcPr>
            <w:tcW w:type="dxa" w:w="23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Standing (any time)</w:t>
            </w:r>
          </w:p>
        </w:tc>
        <w:tc>
          <w:tcPr>
            <w:tcW w:type="dxa" w:w="672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Threats are captured as they arise, tagged to their circle: task, team, or individual. Anyone may raise one; the leader records everything, however small — the Divisional Officer's ear, systematised.</w:t>
            </w:r>
          </w:p>
        </w:tc>
      </w:tr>
      <w:tr>
        <w:tc>
          <w:tcPr>
            <w:tcW w:type="dxa" w:w="23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Weekly (minutes, not meetings)</w:t>
            </w:r>
          </w:p>
        </w:tc>
        <w:tc>
          <w:tcPr>
            <w:tcW w:type="dxa" w:w="6726"/>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One pass per circle: what changed in the forecast? Each circle's top risk named in a sentence — deliverable, impact, cause, probability. Triggers checked: any review date reached, any threshold crossed, any dependency moved?</w:t>
            </w:r>
          </w:p>
        </w:tc>
      </w:tr>
      <w:tr>
        <w:tc>
          <w:tcPr>
            <w:tcW w:type="dxa" w:w="23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Allocation (the output)</w:t>
            </w:r>
          </w:p>
        </w:tc>
        <w:tc>
          <w:tcPr>
            <w:tcW w:type="dxa" w:w="672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The week's attention goes where the forecast points. The leader can say, in one sentence, why they are spending tomorrow with the task, the team, or one individual — and the sentence contains evidence, not habit.</w:t>
            </w:r>
          </w:p>
        </w:tc>
      </w:tr>
      <w:tr>
        <w:tc>
          <w:tcPr>
            <w:tcW w:type="dxa" w:w="2300"/>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Response (as required)</w:t>
            </w:r>
          </w:p>
        </w:tc>
        <w:tc>
          <w:tcPr>
            <w:tcW w:type="dxa" w:w="6726"/>
            <w:shd w:fill="F5F8F5"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Accept — recorded, owned, time-bounded (“the watch rotation holds for now; review after the exercise”). Adapt — a work package (“bring the leading hand back from the course early; brief the stand-in”). Change — the commitment itself renegotiated (“the tasking cannot be met with the manning as cut; the signal goes up today”).</w:t>
            </w:r>
          </w:p>
        </w:tc>
      </w:tr>
      <w:tr>
        <w:tc>
          <w:tcPr>
            <w:tcW w:type="dxa" w:w="2300"/>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Quiet state</w:t>
            </w:r>
          </w:p>
        </w:tc>
        <w:tc>
          <w:tcPr>
            <w:tcW w:type="dxa" w:w="6726"/>
            <w:shd w:fill="FFFFFF" w:val="clear"/>
            <w:tcMar>
              <w:top w:type="dxa" w:w="65"/>
              <w:left w:type="dxa" w:w="115"/>
              <w:bottom w:type="dxa" w:w="65"/>
              <w:right w:type="dxa" w:w="115"/>
            </w:tcMar>
          </w:tcPr>
          <w:p>
            <w:pPr>
              <w:spacing w:after="30" w:line="254"/>
            </w:pPr>
            <w:r>
              <w:rPr>
                <w:rFonts w:ascii="Calibri" w:cs="Calibri" w:eastAsia="Calibri" w:hAnsi="Calibri"/>
                <w:color w:val="1A1A1A"/>
                <w:sz w:val="20"/>
                <w:szCs w:val="20"/>
              </w:rPr>
              <w:t xml:space="preserve">All three circles green is a finding, not a rest: the hour for development, for deepening the team, for scanning the horizon — Adair's motivating and developing functions, scheduled by the absence of forecast risk.</w:t>
            </w:r>
          </w:p>
        </w:tc>
      </w:tr>
    </w:tbl>
    <w:p>
      <w:pPr>
        <w:spacing w:after="100"/>
      </w:pPr>
    </w:p>
    <w:p>
      <w:pPr>
        <w:spacing w:after="150" w:line="276"/>
      </w:pPr>
      <w:r>
        <w:rPr>
          <w:rFonts w:ascii="Calibri" w:cs="Calibri" w:eastAsia="Calibri" w:hAnsi="Calibri"/>
          <w:i/>
          <w:iCs/>
          <w:color w:val="1A1A1A"/>
          <w:sz w:val="22"/>
          <w:szCs w:val="22"/>
        </w:rPr>
        <w:t xml:space="preserve">Nothing above requires software; all of it is strengthened by it. The RDM application's existing machinery — threat registers, constraint thresholds, warning routing, triggers — carries the task and team circles today; the individual circle would require only the guardrail of Section 4.3 designed in from the first screen.</w:t>
      </w:r>
    </w:p>
    <w:p>
      <w:r>
        <w:br w:type="page"/>
      </w:r>
    </w:p>
    <w:p>
      <w:pPr>
        <w:pStyle w:val="Heading1"/>
        <w:spacing w:after="170" w:before="320"/>
      </w:pPr>
      <w:r>
        <w:rPr>
          <w:rFonts w:ascii="Arial" w:cs="Arial" w:eastAsia="Arial" w:hAnsi="Arial"/>
          <w:b/>
          <w:bCs/>
          <w:color w:val="2F5233"/>
          <w:sz w:val="31"/>
          <w:szCs w:val="31"/>
        </w:rPr>
        <w:t xml:space="preserve">9.  Positioning, attribution, and opportunity</w:t>
      </w:r>
    </w:p>
    <w:p>
      <w:pPr>
        <w:spacing w:after="150" w:line="276"/>
      </w:pPr>
      <w:r>
        <w:rPr>
          <w:rFonts w:ascii="Calibri" w:cs="Calibri" w:eastAsia="Calibri" w:hAnsi="Calibri"/>
          <w:b/>
          <w:bCs/>
          <w:color w:val="1A1A1A"/>
          <w:sz w:val="22"/>
          <w:szCs w:val="22"/>
        </w:rPr>
        <w:t xml:space="preserve">Attribution and care. </w:t>
      </w:r>
      <w:r>
        <w:rPr>
          <w:rFonts w:ascii="Calibri" w:cs="Calibri" w:eastAsia="Calibri" w:hAnsi="Calibri"/>
          <w:color w:val="1A1A1A"/>
          <w:sz w:val="22"/>
          <w:szCs w:val="22"/>
        </w:rPr>
        <w:t xml:space="preserve">Action Centred Leadership is John Adair's published model, and organisations founded on his work continue to teach and accredit it today. RDL therefore positions itself as building on Adair's published model, with attribution, in its own vocabulary — commitment domains, forecast allocation, the divisional ethic — and does not use ACL's marks in product names or certifications. The respectful posture is also the strong one: RDL's claim is not “ACL improved” but “ACL completed by a framework Adair could not have had”.</w:t>
      </w:r>
    </w:p>
    <w:p>
      <w:pPr>
        <w:spacing w:after="150" w:line="276"/>
      </w:pPr>
      <w:r>
        <w:rPr>
          <w:rFonts w:ascii="Calibri" w:cs="Calibri" w:eastAsia="Calibri" w:hAnsi="Calibri"/>
          <w:b/>
          <w:bCs/>
          <w:color w:val="1A1A1A"/>
          <w:sz w:val="22"/>
          <w:szCs w:val="22"/>
        </w:rPr>
        <w:t xml:space="preserve">The opportunity. </w:t>
      </w:r>
      <w:r>
        <w:rPr>
          <w:rFonts w:ascii="Calibri" w:cs="Calibri" w:eastAsia="Calibri" w:hAnsi="Calibri"/>
          <w:color w:val="1A1A1A"/>
          <w:sz w:val="22"/>
          <w:szCs w:val="22"/>
        </w:rPr>
        <w:t xml:space="preserve">The leadership-development market is substantially larger than project management, and is chronically short of models that are both teachable and evidenced. RDL gives the RDM brand a second front: the same canonical machinery, a new audience, and a founder's story — “I learned the three circles as a young officer in 1979, and spent forty years discovering what they were missing” — that is close to the perfect opening chapter of the book. Ex-service networks are the natural early community: they already think in threats, estimates and commander's intent, and will recognise RDL as their own instincts, written down.</w:t>
      </w:r>
    </w:p>
    <w:p>
      <w:pPr>
        <w:spacing w:after="150" w:line="276"/>
      </w:pPr>
      <w:r>
        <w:rPr>
          <w:rFonts w:ascii="Calibri" w:cs="Calibri" w:eastAsia="Calibri" w:hAnsi="Calibri"/>
          <w:b/>
          <w:bCs/>
          <w:color w:val="1A1A1A"/>
          <w:sz w:val="22"/>
          <w:szCs w:val="22"/>
        </w:rPr>
        <w:t xml:space="preserve">Relationship to the publication suite. </w:t>
      </w:r>
      <w:r>
        <w:rPr>
          <w:rFonts w:ascii="Calibri" w:cs="Calibri" w:eastAsia="Calibri" w:hAnsi="Calibri"/>
          <w:color w:val="1A1A1A"/>
          <w:sz w:val="22"/>
          <w:szCs w:val="22"/>
        </w:rPr>
        <w:t xml:space="preserve">RDL sits naturally as a fourth publication beside the Project Manager's Guide and Handbook, the Learning Pack, and the Implementation Workbook — initially as this concept paper, maturing (if the exercise of Section 7 succeeds) into a module of its own.</w:t>
      </w:r>
    </w:p>
    <w:p>
      <w:pPr>
        <w:pStyle w:val="Heading1"/>
        <w:spacing w:after="170" w:before="320"/>
      </w:pPr>
      <w:r>
        <w:rPr>
          <w:rFonts w:ascii="Arial" w:cs="Arial" w:eastAsia="Arial" w:hAnsi="Arial"/>
          <w:b/>
          <w:bCs/>
          <w:color w:val="2F5233"/>
          <w:sz w:val="31"/>
          <w:szCs w:val="31"/>
        </w:rPr>
        <w:t xml:space="preserve">10.  Status and next steps</w:t>
      </w:r>
    </w:p>
    <w:p>
      <w:pPr>
        <w:spacing w:after="150" w:line="276"/>
      </w:pPr>
      <w:r>
        <w:rPr>
          <w:rFonts w:ascii="Calibri" w:cs="Calibri" w:eastAsia="Calibri" w:hAnsi="Calibri"/>
          <w:color w:val="1A1A1A"/>
          <w:sz w:val="22"/>
          <w:szCs w:val="22"/>
        </w:rPr>
        <w:t xml:space="preserve">This paper is exploratory. It proposes; it does not yet form part of the canonical framework, and it changes nothing in RDM-FMD-3.00. The path to elevation:</w:t>
      </w:r>
    </w:p>
    <w:p>
      <w:pPr>
        <w:spacing w:after="150" w:line="276"/>
      </w:pPr>
      <w:r>
        <w:rPr>
          <w:rFonts w:ascii="Calibri" w:cs="Calibri" w:eastAsia="Calibri" w:hAnsi="Calibri"/>
          <w:b/>
          <w:bCs/>
          <w:color w:val="1A1A1A"/>
          <w:sz w:val="22"/>
          <w:szCs w:val="22"/>
        </w:rPr>
        <w:t xml:space="preserve">1. </w:t>
      </w:r>
      <w:r>
        <w:rPr>
          <w:rFonts w:ascii="Calibri" w:cs="Calibri" w:eastAsia="Calibri" w:hAnsi="Calibri"/>
          <w:color w:val="1A1A1A"/>
          <w:sz w:val="22"/>
          <w:szCs w:val="22"/>
        </w:rPr>
        <w:t xml:space="preserve">Exercise the mapping with serving or former leaders against real cases — does the three-domain register capture what a good leader actually attends to, and does the allocation rule match what the best of them already do?</w:t>
      </w:r>
    </w:p>
    <w:p>
      <w:pPr>
        <w:spacing w:after="150" w:line="276"/>
      </w:pPr>
      <w:r>
        <w:rPr>
          <w:rFonts w:ascii="Calibri" w:cs="Calibri" w:eastAsia="Calibri" w:hAnsi="Calibri"/>
          <w:b/>
          <w:bCs/>
          <w:color w:val="1A1A1A"/>
          <w:sz w:val="22"/>
          <w:szCs w:val="22"/>
        </w:rPr>
        <w:t xml:space="preserve">2. </w:t>
      </w:r>
      <w:r>
        <w:rPr>
          <w:rFonts w:ascii="Calibri" w:cs="Calibri" w:eastAsia="Calibri" w:hAnsi="Calibri"/>
          <w:color w:val="1A1A1A"/>
          <w:sz w:val="22"/>
          <w:szCs w:val="22"/>
        </w:rPr>
        <w:t xml:space="preserve">Design the individual circle's guardrail formally — what is recorded, what is never recorded, who may see it — with the Divisional System as design authority.</w:t>
      </w:r>
    </w:p>
    <w:p>
      <w:pPr>
        <w:spacing w:after="150" w:line="276"/>
      </w:pPr>
      <w:r>
        <w:rPr>
          <w:rFonts w:ascii="Calibri" w:cs="Calibri" w:eastAsia="Calibri" w:hAnsi="Calibri"/>
          <w:b/>
          <w:bCs/>
          <w:color w:val="1A1A1A"/>
          <w:sz w:val="22"/>
          <w:szCs w:val="22"/>
        </w:rPr>
        <w:t xml:space="preserve">3. </w:t>
      </w:r>
      <w:r>
        <w:rPr>
          <w:rFonts w:ascii="Calibri" w:cs="Calibri" w:eastAsia="Calibri" w:hAnsi="Calibri"/>
          <w:color w:val="1A1A1A"/>
          <w:sz w:val="22"/>
          <w:szCs w:val="22"/>
        </w:rPr>
        <w:t xml:space="preserve">Resolve the open framework questions: does the team circle need its own constraint class or only a convention; is a leadership Warning distinct from a delivery Warning; where do the three registers live relative to the manager's existing ones?</w:t>
      </w:r>
    </w:p>
    <w:p>
      <w:pPr>
        <w:spacing w:after="150" w:line="276"/>
      </w:pPr>
      <w:r>
        <w:rPr>
          <w:rFonts w:ascii="Calibri" w:cs="Calibri" w:eastAsia="Calibri" w:hAnsi="Calibri"/>
          <w:b/>
          <w:bCs/>
          <w:color w:val="1A1A1A"/>
          <w:sz w:val="22"/>
          <w:szCs w:val="22"/>
        </w:rPr>
        <w:t xml:space="preserve">4. </w:t>
      </w:r>
      <w:r>
        <w:rPr>
          <w:rFonts w:ascii="Calibri" w:cs="Calibri" w:eastAsia="Calibri" w:hAnsi="Calibri"/>
          <w:color w:val="1A1A1A"/>
          <w:sz w:val="22"/>
          <w:szCs w:val="22"/>
        </w:rPr>
        <w:t xml:space="preserve">Then, and only then, decide whether RDL enters the framework, remains a companion doctrine, or stays a well-argued paper.</w:t>
      </w:r>
    </w:p>
    <w:p>
      <w:pPr>
        <w:spacing w:after="200"/>
      </w:pPr>
    </w:p>
    <w:p>
      <w:pPr>
        <w:spacing w:after="0" w:line="276"/>
      </w:pPr>
      <w:r>
        <w:rPr>
          <w:rFonts w:ascii="Calibri" w:cs="Calibri" w:eastAsia="Calibri" w:hAnsi="Calibri"/>
          <w:i/>
          <w:iCs/>
          <w:color w:val="595959"/>
          <w:sz w:val="17"/>
          <w:szCs w:val="17"/>
        </w:rPr>
        <w:t xml:space="preserve">Risk-Driven Leadership concept © Philip Linnell 2026. Draws on the RDM Framework Master Document v3.00 (Canonical Reference Edition, © Philip Linnell) and, with attribution, on John Adair's published Action Centred Leadership model. Exploratory status: nothing herein amends the canonical framework.</w:t>
      </w:r>
    </w:p>
    <w:sectPr>
      <w:headerReference w:type="default" r:id="rId7"/>
      <w:footerReference w:type="default" r:id="rId8"/>
      <w:pgSz w:w="11906" w:h="16838" w:orient="portrait"/>
      <w:pgMar w:top="1050" w:right="1240" w:bottom="105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C8C"/>
        <w:sz w:val="15"/>
        <w:szCs w:val="15"/>
      </w:rPr>
      <w:t xml:space="preserve">© Philip Linnell 2026 · exploratory — not part of RDM-FMD-3.00 · Page </w:t>
    </w:r>
    <w:r>
      <w:rPr>
        <w:rFonts w:ascii="Arial" w:cs="Arial" w:eastAsia="Arial" w:hAnsi="Arial"/>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C8C8C"/>
        <w:sz w:val="15"/>
        <w:szCs w:val="15"/>
      </w:rPr>
      <w:t xml:space="preserve">Risk-Driven Leadership — concept paper (exploratory)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Risk-Driven Leadership — A Concept Paper</dc:title>
  <dc:creator>Risk-Driven Management</dc:creator>
  <cp:lastModifiedBy>Un-named</cp:lastModifiedBy>
  <cp:revision>1</cp:revision>
  <dcterms:created xsi:type="dcterms:W3CDTF">2026-07-05T11:29:22.128Z</dcterms:created>
  <dcterms:modified xsi:type="dcterms:W3CDTF">2026-07-05T11:29:22.140Z</dcterms:modified>
</cp:coreProperties>
</file>

<file path=docProps/custom.xml><?xml version="1.0" encoding="utf-8"?>
<Properties xmlns="http://schemas.openxmlformats.org/officeDocument/2006/custom-properties" xmlns:vt="http://schemas.openxmlformats.org/officeDocument/2006/docPropsVTypes"/>
</file>