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300"/>
        <w:jc w:val="center"/>
      </w:pPr>
      <w:r>
        <w:rPr>
          <w:rFonts w:ascii="Arial" w:cs="Arial" w:eastAsia="Arial" w:hAnsi="Arial"/>
          <w:b/>
          <w:bCs/>
          <w:color w:val="2F5233"/>
          <w:sz w:val="52"/>
          <w:szCs w:val="52"/>
        </w:rPr>
        <w:t xml:space="preserve">THE RISK-DRIVEN LEADER</w:t>
      </w:r>
    </w:p>
    <w:p>
      <w:pPr>
        <w:spacing w:after="130"/>
        <w:jc w:val="center"/>
      </w:pPr>
      <w:r>
        <w:rPr>
          <w:rFonts w:ascii="Arial" w:cs="Arial" w:eastAsia="Arial" w:hAnsi="Arial"/>
          <w:color w:val="1A1A1A"/>
          <w:sz w:val="32"/>
          <w:szCs w:val="32"/>
        </w:rPr>
        <w:t xml:space="preserve">A Practical Guide</w:t>
      </w:r>
    </w:p>
    <w:p>
      <w:pPr>
        <w:spacing w:after="110"/>
        <w:jc w:val="center"/>
      </w:pPr>
      <w:r>
        <w:rPr>
          <w:rFonts w:ascii="Calibri" w:cs="Calibri" w:eastAsia="Calibri" w:hAnsi="Calibri"/>
          <w:i/>
          <w:iCs/>
          <w:color w:val="595959"/>
          <w:sz w:val="23"/>
          <w:szCs w:val="23"/>
        </w:rPr>
        <w:t xml:space="preserve">Leading the task, the team, and the individual by the forecast — in uniform and out of it</w:t>
      </w:r>
    </w:p>
    <w:p>
      <w:pPr>
        <w:spacing w:after="90" w:before="1800"/>
        <w:jc w:val="center"/>
      </w:pPr>
      <w:r>
        <w:rPr>
          <w:rFonts w:ascii="Arial" w:cs="Arial" w:eastAsia="Arial" w:hAnsi="Arial"/>
          <w:b/>
          <w:bCs/>
          <w:color w:val="B02318"/>
          <w:sz w:val="21"/>
          <w:szCs w:val="21"/>
        </w:rPr>
        <w:t xml:space="preserve">PILOT-GRADE DOCTRINE</w:t>
      </w:r>
    </w:p>
    <w:p>
      <w:pPr>
        <w:spacing w:after="70"/>
        <w:jc w:val="center"/>
      </w:pPr>
      <w:r>
        <w:rPr>
          <w:rFonts w:ascii="Calibri" w:cs="Calibri" w:eastAsia="Calibri" w:hAnsi="Calibri"/>
          <w:i/>
          <w:iCs/>
          <w:color w:val="595959"/>
          <w:sz w:val="19"/>
          <w:szCs w:val="19"/>
        </w:rPr>
        <w:t xml:space="preserve">A practice guide to the exploratory Risk-Driven Leadership concept. It amends nothing in RDM-FMD-3.00, and expects to be improved by use.</w:t>
      </w:r>
    </w:p>
    <w:p>
      <w:pPr>
        <w:spacing w:after="60" w:before="450"/>
        <w:jc w:val="center"/>
      </w:pPr>
      <w:r>
        <w:rPr>
          <w:rFonts w:ascii="Calibri" w:cs="Calibri" w:eastAsia="Calibri" w:hAnsi="Calibri"/>
          <w:color w:val="595959"/>
          <w:sz w:val="18"/>
          <w:szCs w:val="18"/>
        </w:rPr>
        <w:t xml:space="preserve">Companion to: the RDL Concept Paper · the RDM Framework Master Document v3.00 · John Adair's Action Centred Leadership (with attribution)</w:t>
      </w:r>
    </w:p>
    <w:p>
      <w:pPr>
        <w:spacing w:after="60"/>
        <w:jc w:val="center"/>
      </w:pPr>
      <w:r>
        <w:rPr>
          <w:rFonts w:ascii="Calibri" w:cs="Calibri" w:eastAsia="Calibri" w:hAnsi="Calibri"/>
          <w:color w:val="595959"/>
          <w:sz w:val="18"/>
          <w:szCs w:val="18"/>
        </w:rPr>
        <w:t xml:space="preserve">RDM © Philip Linnell 2026 · risk-driven-management.com</w:t>
      </w:r>
    </w:p>
    <w:p>
      <w:r>
        <w:br w:type="page"/>
      </w:r>
    </w:p>
    <w:p>
      <w:pPr>
        <w:pStyle w:val="Heading1"/>
        <w:spacing w:after="170" w:before="320"/>
      </w:pPr>
      <w:r>
        <w:rPr>
          <w:rFonts w:ascii="Arial" w:cs="Arial" w:eastAsia="Arial" w:hAnsi="Arial"/>
          <w:b/>
          <w:bCs/>
          <w:color w:val="2F5233"/>
          <w:sz w:val="31"/>
          <w:szCs w:val="31"/>
        </w:rPr>
        <w:t xml:space="preserve">1.  What kind of leader this makes you</w:t>
      </w:r>
    </w:p>
    <w:p>
      <w:pPr>
        <w:spacing w:after="150" w:line="276"/>
      </w:pPr>
      <w:r>
        <w:rPr>
          <w:rFonts w:ascii="Calibri" w:cs="Calibri" w:eastAsia="Calibri" w:hAnsi="Calibri"/>
          <w:color w:val="1A1A1A"/>
          <w:sz w:val="22"/>
          <w:szCs w:val="22"/>
        </w:rPr>
        <w:t xml:space="preserve">You hold three commitments at once, whether you have named them or not. You are committed to </w:t>
      </w:r>
      <w:r>
        <w:rPr>
          <w:rFonts w:ascii="Calibri" w:cs="Calibri" w:eastAsia="Calibri" w:hAnsi="Calibri"/>
          <w:b/>
          <w:bCs/>
          <w:color w:val="1A1A1A"/>
          <w:sz w:val="22"/>
          <w:szCs w:val="22"/>
        </w:rPr>
        <w:t xml:space="preserve">a task</w:t>
      </w:r>
      <w:r>
        <w:rPr>
          <w:rFonts w:ascii="Calibri" w:cs="Calibri" w:eastAsia="Calibri" w:hAnsi="Calibri"/>
          <w:color w:val="1A1A1A"/>
          <w:sz w:val="22"/>
          <w:szCs w:val="22"/>
        </w:rPr>
        <w:t xml:space="preserve"> — something promised, to someone, by some time. You are committed to </w:t>
      </w:r>
      <w:r>
        <w:rPr>
          <w:rFonts w:ascii="Calibri" w:cs="Calibri" w:eastAsia="Calibri" w:hAnsi="Calibri"/>
          <w:b/>
          <w:bCs/>
          <w:color w:val="1A1A1A"/>
          <w:sz w:val="22"/>
          <w:szCs w:val="22"/>
        </w:rPr>
        <w:t xml:space="preserve">a team</w:t>
      </w:r>
      <w:r>
        <w:rPr>
          <w:rFonts w:ascii="Calibri" w:cs="Calibri" w:eastAsia="Calibri" w:hAnsi="Calibri"/>
          <w:color w:val="1A1A1A"/>
          <w:sz w:val="22"/>
          <w:szCs w:val="22"/>
        </w:rPr>
        <w:t xml:space="preserve"> — that it remains capable and cohesive enough to deliver, this month and next. And you are committed to </w:t>
      </w:r>
      <w:r>
        <w:rPr>
          <w:rFonts w:ascii="Calibri" w:cs="Calibri" w:eastAsia="Calibri" w:hAnsi="Calibri"/>
          <w:b/>
          <w:bCs/>
          <w:color w:val="1A1A1A"/>
          <w:sz w:val="22"/>
          <w:szCs w:val="22"/>
        </w:rPr>
        <w:t xml:space="preserve">each individual</w:t>
      </w:r>
      <w:r>
        <w:rPr>
          <w:rFonts w:ascii="Calibri" w:cs="Calibri" w:eastAsia="Calibri" w:hAnsi="Calibri"/>
          <w:color w:val="1A1A1A"/>
          <w:sz w:val="22"/>
          <w:szCs w:val="22"/>
        </w:rPr>
        <w:t xml:space="preserve"> in it — development, fairness, and honest dealing, in exchange for their effort and loyalty. Action Centred Leadership drew these as three overlapping circles in the 1960s and told leaders to balance all three. It never said how to decide, on any given morning, which circle needs you.</w:t>
      </w:r>
    </w:p>
    <w:p>
      <w:pPr>
        <w:spacing w:after="150" w:line="276"/>
      </w:pPr>
      <w:r>
        <w:rPr>
          <w:rFonts w:ascii="Calibri" w:cs="Calibri" w:eastAsia="Calibri" w:hAnsi="Calibri"/>
          <w:color w:val="1A1A1A"/>
          <w:sz w:val="22"/>
          <w:szCs w:val="22"/>
        </w:rPr>
        <w:t xml:space="preserve">The risk-driven answer: </w:t>
      </w:r>
      <w:r>
        <w:rPr>
          <w:rFonts w:ascii="Calibri" w:cs="Calibri" w:eastAsia="Calibri" w:hAnsi="Calibri"/>
          <w:b/>
          <w:bCs/>
          <w:color w:val="1A1A1A"/>
          <w:sz w:val="22"/>
          <w:szCs w:val="22"/>
        </w:rPr>
        <w:t xml:space="preserve">attention follows the forecast.</w:t>
      </w:r>
      <w:r>
        <w:rPr>
          <w:rFonts w:ascii="Calibri" w:cs="Calibri" w:eastAsia="Calibri" w:hAnsi="Calibri"/>
          <w:color w:val="1A1A1A"/>
          <w:sz w:val="22"/>
          <w:szCs w:val="22"/>
        </w:rPr>
        <w:t xml:space="preserve"> Each circle's commitments live under threat — the services would say </w:t>
      </w:r>
      <w:r>
        <w:rPr>
          <w:rFonts w:ascii="Calibri" w:cs="Calibri" w:eastAsia="Calibri" w:hAnsi="Calibri"/>
          <w:i/>
          <w:iCs/>
          <w:color w:val="1A1A1A"/>
          <w:sz w:val="22"/>
          <w:szCs w:val="22"/>
        </w:rPr>
        <w:t xml:space="preserve">the Threat</w:t>
      </w:r>
      <w:r>
        <w:rPr>
          <w:rFonts w:ascii="Calibri" w:cs="Calibri" w:eastAsia="Calibri" w:hAnsi="Calibri"/>
          <w:color w:val="1A1A1A"/>
          <w:sz w:val="22"/>
          <w:szCs w:val="22"/>
        </w:rPr>
        <w:t xml:space="preserve"> presses on all three — and your scarcest resource, attention, goes where a commitment is most endangered. Not to the loudest voice, not to the circle you enjoy, not to a rota. To the forecast.</w:t>
      </w:r>
    </w:p>
    <w:tbl>
      <w:tblPr>
        <w:tblW w:type="dxa" w:w="9026"/>
        <w:tblBorders>
          <w:top w:val="single" w:color="2F5233" w:sz="6"/>
          <w:left w:val="single" w:color="2F5233" w:sz="6"/>
          <w:bottom w:val="single" w:color="2F5233" w:sz="6"/>
          <w:right w:val="single" w:color="2F5233" w:sz="6"/>
          <w:insideH w:val="single" w:color="auto" w:sz="4"/>
          <w:insideV w:val="single" w:color="auto" w:sz="4"/>
        </w:tblBorders>
      </w:tblPr>
      <w:tblGrid>
        <w:gridCol w:w="9026"/>
      </w:tblGrid>
      <w:tr>
        <w:tc>
          <w:tcPr>
            <w:shd w:fill="EEF3EC" w:val="clear"/>
            <w:tcMar>
              <w:top w:type="dxa" w:w="150"/>
              <w:left w:type="dxa" w:w="210"/>
              <w:bottom w:type="dxa" w:w="150"/>
              <w:right w:type="dxa" w:w="210"/>
            </w:tcMar>
          </w:tcPr>
          <w:p>
            <w:pPr>
              <w:spacing w:after="90"/>
            </w:pPr>
            <w:r>
              <w:rPr>
                <w:rFonts w:ascii="Arial" w:cs="Arial" w:eastAsia="Arial" w:hAnsi="Arial"/>
                <w:b/>
                <w:bCs/>
                <w:color w:val="2F5233"/>
                <w:sz w:val="22"/>
                <w:szCs w:val="22"/>
              </w:rPr>
              <w:t xml:space="preserve">The one-sentence test</w:t>
            </w:r>
          </w:p>
          <w:p>
            <w:pPr>
              <w:spacing w:after="80" w:line="272"/>
            </w:pPr>
            <w:r>
              <w:rPr>
                <w:rFonts w:ascii="Calibri" w:cs="Calibri" w:eastAsia="Calibri" w:hAnsi="Calibri"/>
                <w:b/>
                <w:bCs/>
                <w:color w:val="1A1A1A"/>
                <w:sz w:val="22"/>
                <w:szCs w:val="22"/>
              </w:rPr>
              <w:t xml:space="preserve">At any moment, you can say — in one sentence, with evidence — why your attention is where it is: </w:t>
            </w:r>
            <w:r>
              <w:rPr>
                <w:rFonts w:ascii="Calibri" w:cs="Calibri" w:eastAsia="Calibri" w:hAnsi="Calibri"/>
                <w:i/>
                <w:iCs/>
                <w:color w:val="1A1A1A"/>
                <w:sz w:val="22"/>
                <w:szCs w:val="22"/>
              </w:rPr>
              <w:t xml:space="preserve">“I am spending tomorrow with the team because the watch-rotation risk went to 70% when the relief was delayed” </w:t>
            </w:r>
            <w:r>
              <w:rPr>
                <w:rFonts w:ascii="Calibri" w:cs="Calibri" w:eastAsia="Calibri" w:hAnsi="Calibri"/>
                <w:color w:val="1A1A1A"/>
                <w:sz w:val="22"/>
                <w:szCs w:val="22"/>
              </w:rPr>
              <w:t xml:space="preserve">beats “it felt like time for a walk-round” every day of the week. If you cannot produce the sentence, you are presiding, not leading.</w:t>
            </w:r>
          </w:p>
        </w:tc>
      </w:tr>
    </w:tbl>
    <w:p>
      <w:pPr>
        <w:spacing w:after="100"/>
      </w:pPr>
    </w:p>
    <w:p>
      <w:pPr>
        <w:spacing w:after="150" w:line="276"/>
      </w:pPr>
      <w:r>
        <w:rPr>
          <w:rFonts w:ascii="Calibri" w:cs="Calibri" w:eastAsia="Calibri" w:hAnsi="Calibri"/>
          <w:color w:val="1A1A1A"/>
          <w:sz w:val="22"/>
          <w:szCs w:val="22"/>
        </w:rPr>
        <w:t xml:space="preserve">Three consequences follow, and they are the spine of this guide. First: a leader permanently camped in one circle is not balancing but firefighting — and the registers will show it. Second: every response you make is one of exactly three — </w:t>
      </w:r>
      <w:r>
        <w:rPr>
          <w:rFonts w:ascii="Calibri" w:cs="Calibri" w:eastAsia="Calibri" w:hAnsi="Calibri"/>
          <w:b/>
          <w:bCs/>
          <w:color w:val="1A1A1A"/>
          <w:sz w:val="22"/>
          <w:szCs w:val="22"/>
        </w:rPr>
        <w:t xml:space="preserve">Accept</w:t>
      </w:r>
      <w:r>
        <w:rPr>
          <w:rFonts w:ascii="Calibri" w:cs="Calibri" w:eastAsia="Calibri" w:hAnsi="Calibri"/>
          <w:color w:val="1A1A1A"/>
          <w:sz w:val="22"/>
          <w:szCs w:val="22"/>
        </w:rPr>
        <w:t xml:space="preserve"> (hold, consciously, with a review date), </w:t>
      </w:r>
      <w:r>
        <w:rPr>
          <w:rFonts w:ascii="Calibri" w:cs="Calibri" w:eastAsia="Calibri" w:hAnsi="Calibri"/>
          <w:b/>
          <w:bCs/>
          <w:color w:val="1A1A1A"/>
          <w:sz w:val="22"/>
          <w:szCs w:val="22"/>
        </w:rPr>
        <w:t xml:space="preserve">Adapt</w:t>
      </w:r>
      <w:r>
        <w:rPr>
          <w:rFonts w:ascii="Calibri" w:cs="Calibri" w:eastAsia="Calibri" w:hAnsi="Calibri"/>
          <w:color w:val="1A1A1A"/>
          <w:sz w:val="22"/>
          <w:szCs w:val="22"/>
        </w:rPr>
        <w:t xml:space="preserve"> (act, within your current commitments), or </w:t>
      </w:r>
      <w:r>
        <w:rPr>
          <w:rFonts w:ascii="Calibri" w:cs="Calibri" w:eastAsia="Calibri" w:hAnsi="Calibri"/>
          <w:b/>
          <w:bCs/>
          <w:color w:val="1A1A1A"/>
          <w:sz w:val="22"/>
          <w:szCs w:val="22"/>
        </w:rPr>
        <w:t xml:space="preserve">Change</w:t>
      </w:r>
      <w:r>
        <w:rPr>
          <w:rFonts w:ascii="Calibri" w:cs="Calibri" w:eastAsia="Calibri" w:hAnsi="Calibri"/>
          <w:color w:val="1A1A1A"/>
          <w:sz w:val="22"/>
          <w:szCs w:val="22"/>
        </w:rPr>
        <w:t xml:space="preserve"> (renegotiate the commitment itself, honestly and early). Third: </w:t>
      </w:r>
      <w:r>
        <w:rPr>
          <w:rFonts w:ascii="Calibri" w:cs="Calibri" w:eastAsia="Calibri" w:hAnsi="Calibri"/>
          <w:b/>
          <w:bCs/>
          <w:color w:val="1A1A1A"/>
          <w:sz w:val="22"/>
          <w:szCs w:val="22"/>
        </w:rPr>
        <w:t xml:space="preserve">all three circles quiet is a finding, not a rest</w:t>
      </w:r>
      <w:r>
        <w:rPr>
          <w:rFonts w:ascii="Calibri" w:cs="Calibri" w:eastAsia="Calibri" w:hAnsi="Calibri"/>
          <w:color w:val="1A1A1A"/>
          <w:sz w:val="22"/>
          <w:szCs w:val="22"/>
        </w:rPr>
        <w:t xml:space="preserve"> — it is the hour for developing people, deepening the team, and scanning the horizon, which is to say the hour Adair's motivating and developing functions were made for.</w:t>
      </w:r>
    </w:p>
    <w:p>
      <w:r>
        <w:br w:type="page"/>
      </w:r>
    </w:p>
    <w:p>
      <w:pPr>
        <w:pStyle w:val="Heading1"/>
        <w:spacing w:after="170" w:before="320"/>
      </w:pPr>
      <w:r>
        <w:rPr>
          <w:rFonts w:ascii="Arial" w:cs="Arial" w:eastAsia="Arial" w:hAnsi="Arial"/>
          <w:b/>
          <w:bCs/>
          <w:color w:val="2F5233"/>
          <w:sz w:val="31"/>
          <w:szCs w:val="31"/>
        </w:rPr>
        <w:t xml:space="preserve">2.  Your three registers</w:t>
      </w:r>
    </w:p>
    <w:p>
      <w:pPr>
        <w:spacing w:after="150" w:line="276"/>
      </w:pPr>
      <w:r>
        <w:rPr>
          <w:rFonts w:ascii="Calibri" w:cs="Calibri" w:eastAsia="Calibri" w:hAnsi="Calibri"/>
          <w:color w:val="1A1A1A"/>
          <w:sz w:val="22"/>
          <w:szCs w:val="22"/>
        </w:rPr>
        <w:t xml:space="preserve">Everything in this guide runs on three thin registers — one per circle. Nothing here requires software; a notebook carries all three, and the discipline matters more than the medium. Each register holds the same four things: the </w:t>
      </w:r>
      <w:r>
        <w:rPr>
          <w:rFonts w:ascii="Calibri" w:cs="Calibri" w:eastAsia="Calibri" w:hAnsi="Calibri"/>
          <w:b/>
          <w:bCs/>
          <w:color w:val="1A1A1A"/>
          <w:sz w:val="22"/>
          <w:szCs w:val="22"/>
        </w:rPr>
        <w:t xml:space="preserve">commitments</w:t>
      </w:r>
      <w:r>
        <w:rPr>
          <w:rFonts w:ascii="Calibri" w:cs="Calibri" w:eastAsia="Calibri" w:hAnsi="Calibri"/>
          <w:color w:val="1A1A1A"/>
          <w:sz w:val="22"/>
          <w:szCs w:val="22"/>
        </w:rPr>
        <w:t xml:space="preserve"> in that circle, the </w:t>
      </w:r>
      <w:r>
        <w:rPr>
          <w:rFonts w:ascii="Calibri" w:cs="Calibri" w:eastAsia="Calibri" w:hAnsi="Calibri"/>
          <w:b/>
          <w:bCs/>
          <w:color w:val="1A1A1A"/>
          <w:sz w:val="22"/>
          <w:szCs w:val="22"/>
        </w:rPr>
        <w:t xml:space="preserve">threats</w:t>
      </w:r>
      <w:r>
        <w:rPr>
          <w:rFonts w:ascii="Calibri" w:cs="Calibri" w:eastAsia="Calibri" w:hAnsi="Calibri"/>
          <w:color w:val="1A1A1A"/>
          <w:sz w:val="22"/>
          <w:szCs w:val="22"/>
        </w:rPr>
        <w:t xml:space="preserve"> pressing on them, your </w:t>
      </w:r>
      <w:r>
        <w:rPr>
          <w:rFonts w:ascii="Calibri" w:cs="Calibri" w:eastAsia="Calibri" w:hAnsi="Calibri"/>
          <w:b/>
          <w:bCs/>
          <w:color w:val="1A1A1A"/>
          <w:sz w:val="22"/>
          <w:szCs w:val="22"/>
        </w:rPr>
        <w:t xml:space="preserve">assessment</w:t>
      </w:r>
      <w:r>
        <w:rPr>
          <w:rFonts w:ascii="Calibri" w:cs="Calibri" w:eastAsia="Calibri" w:hAnsi="Calibri"/>
          <w:color w:val="1A1A1A"/>
          <w:sz w:val="22"/>
          <w:szCs w:val="22"/>
        </w:rPr>
        <w:t xml:space="preserve"> (what will happen, how likely, stated honestly), and your </w:t>
      </w:r>
      <w:r>
        <w:rPr>
          <w:rFonts w:ascii="Calibri" w:cs="Calibri" w:eastAsia="Calibri" w:hAnsi="Calibri"/>
          <w:b/>
          <w:bCs/>
          <w:color w:val="1A1A1A"/>
          <w:sz w:val="22"/>
          <w:szCs w:val="22"/>
        </w:rPr>
        <w:t xml:space="preserve">response with its trigger</w:t>
      </w:r>
      <w:r>
        <w:rPr>
          <w:rFonts w:ascii="Calibri" w:cs="Calibri" w:eastAsia="Calibri" w:hAnsi="Calibri"/>
          <w:color w:val="1A1A1A"/>
          <w:sz w:val="22"/>
          <w:szCs w:val="22"/>
        </w:rPr>
        <w:t xml:space="preserve"> — the pre-set condition that brings the entry back in front of you: a date, an event, a threshold.</w:t>
      </w:r>
    </w:p>
    <w:p>
      <w:pPr>
        <w:pStyle w:val="Heading2"/>
        <w:spacing w:after="130" w:before="235"/>
      </w:pPr>
      <w:r>
        <w:rPr>
          <w:rFonts w:ascii="Arial" w:cs="Arial" w:eastAsia="Arial" w:hAnsi="Arial"/>
          <w:b/>
          <w:bCs/>
          <w:color w:val="4A7C59"/>
          <w:sz w:val="24"/>
          <w:szCs w:val="24"/>
        </w:rPr>
        <w:t xml:space="preserve">Writing entries that work</w:t>
      </w:r>
    </w:p>
    <w:p>
      <w:pPr>
        <w:spacing w:after="150" w:line="276"/>
      </w:pPr>
      <w:r>
        <w:rPr>
          <w:rFonts w:ascii="Calibri" w:cs="Calibri" w:eastAsia="Calibri" w:hAnsi="Calibri"/>
          <w:color w:val="1A1A1A"/>
          <w:sz w:val="22"/>
          <w:szCs w:val="22"/>
        </w:rPr>
        <w:t xml:space="preserve">Threats are written as possibilities, at their cause: </w:t>
      </w:r>
      <w:r>
        <w:rPr>
          <w:rFonts w:ascii="Calibri" w:cs="Calibri" w:eastAsia="Calibri" w:hAnsi="Calibri"/>
          <w:i/>
          <w:iCs/>
          <w:color w:val="1A1A1A"/>
          <w:sz w:val="22"/>
          <w:szCs w:val="22"/>
        </w:rPr>
        <w:t xml:space="preserve">“the relief may be delayed past the deployment date.”</w:t>
      </w:r>
      <w:r>
        <w:rPr>
          <w:rFonts w:ascii="Calibri" w:cs="Calibri" w:eastAsia="Calibri" w:hAnsi="Calibri"/>
          <w:color w:val="1A1A1A"/>
          <w:sz w:val="22"/>
          <w:szCs w:val="22"/>
        </w:rPr>
        <w:t xml:space="preserve"> Assessed risks are written as consequences that will happen if the threat lands: </w:t>
      </w:r>
      <w:r>
        <w:rPr>
          <w:rFonts w:ascii="Calibri" w:cs="Calibri" w:eastAsia="Calibri" w:hAnsi="Calibri"/>
          <w:i/>
          <w:iCs/>
          <w:color w:val="1A1A1A"/>
          <w:sz w:val="22"/>
          <w:szCs w:val="22"/>
        </w:rPr>
        <w:t xml:space="preserve">“there is a risk the watch rotation will break because the relief is delayed — 70%.”</w:t>
      </w:r>
      <w:r>
        <w:rPr>
          <w:rFonts w:ascii="Calibri" w:cs="Calibri" w:eastAsia="Calibri" w:hAnsi="Calibri"/>
          <w:color w:val="1A1A1A"/>
          <w:sz w:val="22"/>
          <w:szCs w:val="22"/>
        </w:rPr>
        <w:t xml:space="preserve"> The word “will” is doing structural work: “might break” smuggles the uncertainty in twice and makes your probability meaningless. Probability is a number you own, not a colour you negotiate.</w:t>
      </w:r>
    </w:p>
    <w:p>
      <w:pPr>
        <w:pStyle w:val="Heading2"/>
        <w:spacing w:after="130" w:before="235"/>
      </w:pPr>
      <w:r>
        <w:rPr>
          <w:rFonts w:ascii="Arial" w:cs="Arial" w:eastAsia="Arial" w:hAnsi="Arial"/>
          <w:b/>
          <w:bCs/>
          <w:color w:val="4A7C59"/>
          <w:sz w:val="24"/>
          <w:szCs w:val="24"/>
        </w:rPr>
        <w:t xml:space="preserve">The individual register's standing rule</w:t>
      </w:r>
    </w:p>
    <w:tbl>
      <w:tblPr>
        <w:tblW w:type="dxa" w:w="9026"/>
        <w:tblBorders>
          <w:top w:val="single" w:color="2F5233" w:sz="6"/>
          <w:left w:val="single" w:color="2F5233" w:sz="6"/>
          <w:bottom w:val="single" w:color="2F5233" w:sz="6"/>
          <w:right w:val="single" w:color="2F5233" w:sz="6"/>
          <w:insideH w:val="single" w:color="auto" w:sz="4"/>
          <w:insideV w:val="single" w:color="auto" w:sz="4"/>
        </w:tblBorders>
      </w:tblPr>
      <w:tblGrid>
        <w:gridCol w:w="9026"/>
      </w:tblGrid>
      <w:tr>
        <w:tc>
          <w:tcPr>
            <w:shd w:fill="EEF3EC" w:val="clear"/>
            <w:tcMar>
              <w:top w:type="dxa" w:w="150"/>
              <w:left w:type="dxa" w:w="210"/>
              <w:bottom w:type="dxa" w:w="150"/>
              <w:right w:type="dxa" w:w="210"/>
            </w:tcMar>
          </w:tcPr>
          <w:p>
            <w:pPr>
              <w:spacing w:after="90"/>
            </w:pPr>
            <w:r>
              <w:rPr>
                <w:rFonts w:ascii="Arial" w:cs="Arial" w:eastAsia="Arial" w:hAnsi="Arial"/>
                <w:b/>
                <w:bCs/>
                <w:color w:val="2F5233"/>
                <w:sz w:val="22"/>
                <w:szCs w:val="22"/>
              </w:rPr>
              <w:t xml:space="preserve">Recorded / never recorded</w:t>
            </w:r>
          </w:p>
          <w:p>
            <w:pPr>
              <w:spacing w:after="80" w:line="272"/>
            </w:pPr>
            <w:r>
              <w:rPr>
                <w:rFonts w:ascii="Calibri" w:cs="Calibri" w:eastAsia="Calibri" w:hAnsi="Calibri"/>
                <w:b/>
                <w:bCs/>
                <w:color w:val="1A1A1A"/>
                <w:sz w:val="22"/>
                <w:szCs w:val="22"/>
              </w:rPr>
              <w:t xml:space="preserve">Recorded: </w:t>
            </w:r>
            <w:r>
              <w:rPr>
                <w:rFonts w:ascii="Calibri" w:cs="Calibri" w:eastAsia="Calibri" w:hAnsi="Calibri"/>
                <w:color w:val="1A1A1A"/>
                <w:sz w:val="22"/>
                <w:szCs w:val="22"/>
              </w:rPr>
              <w:t xml:space="preserve">your commitments to the person (the course promised, the board they're due, the conversation owed); threats to those commitments (a delayed relief, a posting clash, a workload spike you have seen); your responses and their review dates.</w:t>
            </w:r>
          </w:p>
          <w:p>
            <w:pPr>
              <w:spacing w:after="80" w:line="272"/>
            </w:pPr>
            <w:r>
              <w:rPr>
                <w:rFonts w:ascii="Calibri" w:cs="Calibri" w:eastAsia="Calibri" w:hAnsi="Calibri"/>
                <w:b/>
                <w:bCs/>
                <w:color w:val="1A1A1A"/>
                <w:sz w:val="22"/>
                <w:szCs w:val="22"/>
              </w:rPr>
              <w:t xml:space="preserve">Never recorded: </w:t>
            </w:r>
            <w:r>
              <w:rPr>
                <w:rFonts w:ascii="Calibri" w:cs="Calibri" w:eastAsia="Calibri" w:hAnsi="Calibri"/>
                <w:color w:val="1A1A1A"/>
                <w:sz w:val="22"/>
                <w:szCs w:val="22"/>
              </w:rPr>
              <w:t xml:space="preserve">medical details, hearsay, speculation about private life, anything about protected characteristics, anything you would not want them to read. The entry describes your obligations and their circumstances as they affect commitments — never the person as a subject.</w:t>
            </w:r>
          </w:p>
          <w:p>
            <w:pPr>
              <w:spacing w:after="80" w:line="272"/>
            </w:pPr>
            <w:r>
              <w:rPr>
                <w:rFonts w:ascii="Calibri" w:cs="Calibri" w:eastAsia="Calibri" w:hAnsi="Calibri"/>
                <w:b/>
                <w:bCs/>
                <w:color w:val="1A1A1A"/>
                <w:sz w:val="22"/>
                <w:szCs w:val="22"/>
              </w:rPr>
              <w:t xml:space="preserve">The test, borrowed from the best Divisional Officers: </w:t>
            </w:r>
            <w:r>
              <w:rPr>
                <w:rFonts w:ascii="Calibri" w:cs="Calibri" w:eastAsia="Calibri" w:hAnsi="Calibri"/>
                <w:i/>
                <w:iCs/>
                <w:color w:val="1A1A1A"/>
                <w:sz w:val="22"/>
                <w:szCs w:val="22"/>
              </w:rPr>
              <w:t xml:space="preserve">if the individual read their entry, would they recognise care — or scrutiny? If scrutiny, delete it. This register exists to make your attention reliable, not to build a file.</w:t>
            </w:r>
          </w:p>
        </w:tc>
      </w:tr>
    </w:tbl>
    <w:p>
      <w:r>
        <w:br w:type="page"/>
      </w:r>
    </w:p>
    <w:p>
      <w:pPr>
        <w:pStyle w:val="Heading1"/>
        <w:spacing w:after="170" w:before="320"/>
      </w:pPr>
      <w:r>
        <w:rPr>
          <w:rFonts w:ascii="Arial" w:cs="Arial" w:eastAsia="Arial" w:hAnsi="Arial"/>
          <w:b/>
          <w:bCs/>
          <w:color w:val="2F5233"/>
          <w:sz w:val="31"/>
          <w:szCs w:val="31"/>
        </w:rPr>
        <w:t xml:space="preserve">3.  The task circle in practice</w:t>
      </w:r>
    </w:p>
    <w:p>
      <w:pPr>
        <w:spacing w:after="150" w:line="276"/>
      </w:pPr>
      <w:r>
        <w:rPr>
          <w:rFonts w:ascii="Calibri" w:cs="Calibri" w:eastAsia="Calibri" w:hAnsi="Calibri"/>
          <w:color w:val="1A1A1A"/>
          <w:sz w:val="22"/>
          <w:szCs w:val="22"/>
        </w:rPr>
        <w:t xml:space="preserve">The task is a commitment with three promises in it: what will be delivered, by when, for what in return. Write it down that way — one line — and you have the task register's first entry. If you cannot state the three promises, that is your first finding: the task is ungoverned, and no amount of activity fixes an unstated commitment. Then sweep for threats where they actually live: in the </w:t>
      </w:r>
      <w:r>
        <w:rPr>
          <w:rFonts w:ascii="Calibri" w:cs="Calibri" w:eastAsia="Calibri" w:hAnsi="Calibri"/>
          <w:b/>
          <w:bCs/>
          <w:color w:val="1A1A1A"/>
          <w:sz w:val="22"/>
          <w:szCs w:val="22"/>
        </w:rPr>
        <w:t xml:space="preserve">requirements</w:t>
      </w:r>
      <w:r>
        <w:rPr>
          <w:rFonts w:ascii="Calibri" w:cs="Calibri" w:eastAsia="Calibri" w:hAnsi="Calibri"/>
          <w:color w:val="1A1A1A"/>
          <w:sz w:val="22"/>
          <w:szCs w:val="22"/>
        </w:rPr>
        <w:t xml:space="preserve"> themselves (each one can fail), in your </w:t>
      </w:r>
      <w:r>
        <w:rPr>
          <w:rFonts w:ascii="Calibri" w:cs="Calibri" w:eastAsia="Calibri" w:hAnsi="Calibri"/>
          <w:b/>
          <w:bCs/>
          <w:color w:val="1A1A1A"/>
          <w:sz w:val="22"/>
          <w:szCs w:val="22"/>
        </w:rPr>
        <w:t xml:space="preserve">inputs</w:t>
      </w:r>
      <w:r>
        <w:rPr>
          <w:rFonts w:ascii="Calibri" w:cs="Calibri" w:eastAsia="Calibri" w:hAnsi="Calibri"/>
          <w:color w:val="1A1A1A"/>
          <w:sz w:val="22"/>
          <w:szCs w:val="22"/>
        </w:rPr>
        <w:t xml:space="preserve"> (everything arriving from outside your control), in your </w:t>
      </w:r>
      <w:r>
        <w:rPr>
          <w:rFonts w:ascii="Calibri" w:cs="Calibri" w:eastAsia="Calibri" w:hAnsi="Calibri"/>
          <w:b/>
          <w:bCs/>
          <w:color w:val="1A1A1A"/>
          <w:sz w:val="22"/>
          <w:szCs w:val="22"/>
        </w:rPr>
        <w:t xml:space="preserve">resources</w:t>
      </w:r>
      <w:r>
        <w:rPr>
          <w:rFonts w:ascii="Calibri" w:cs="Calibri" w:eastAsia="Calibri" w:hAnsi="Calibri"/>
          <w:color w:val="1A1A1A"/>
          <w:sz w:val="22"/>
          <w:szCs w:val="22"/>
        </w:rPr>
        <w:t xml:space="preserve"> (the people and kit the plan assumes), and in the </w:t>
      </w:r>
      <w:r>
        <w:rPr>
          <w:rFonts w:ascii="Calibri" w:cs="Calibri" w:eastAsia="Calibri" w:hAnsi="Calibri"/>
          <w:b/>
          <w:bCs/>
          <w:color w:val="1A1A1A"/>
          <w:sz w:val="22"/>
          <w:szCs w:val="22"/>
        </w:rPr>
        <w:t xml:space="preserve">standing rules</w:t>
      </w:r>
      <w:r>
        <w:rPr>
          <w:rFonts w:ascii="Calibri" w:cs="Calibri" w:eastAsia="Calibri" w:hAnsi="Calibri"/>
          <w:color w:val="1A1A1A"/>
          <w:sz w:val="22"/>
          <w:szCs w:val="22"/>
        </w:rPr>
        <w:t xml:space="preserve"> you operate under.</w:t>
      </w:r>
    </w:p>
    <w:p>
      <w:pPr>
        <w:spacing w:after="150" w:line="276"/>
      </w:pPr>
      <w:r>
        <w:rPr>
          <w:rFonts w:ascii="Calibri" w:cs="Calibri" w:eastAsia="Calibri" w:hAnsi="Calibri"/>
          <w:color w:val="1A1A1A"/>
          <w:sz w:val="22"/>
          <w:szCs w:val="22"/>
        </w:rPr>
        <w:t xml:space="preserve">The forecast is the discipline: not “how is it going” but “</w:t>
      </w:r>
      <w:r>
        <w:rPr>
          <w:rFonts w:ascii="Calibri" w:cs="Calibri" w:eastAsia="Calibri" w:hAnsi="Calibri"/>
          <w:b/>
          <w:bCs/>
          <w:color w:val="1A1A1A"/>
          <w:sz w:val="22"/>
          <w:szCs w:val="22"/>
        </w:rPr>
        <w:t xml:space="preserve">what will happen, on present evidence</w:t>
      </w:r>
      <w:r>
        <w:rPr>
          <w:rFonts w:ascii="Calibri" w:cs="Calibri" w:eastAsia="Calibri" w:hAnsi="Calibri"/>
          <w:color w:val="1A1A1A"/>
          <w:sz w:val="22"/>
          <w:szCs w:val="22"/>
        </w:rPr>
        <w:t xml:space="preserve">” — and status reflects that forecast, never the comfort of a plan in motion. A recovery underway is still a breach until the forecast says otherwise. When the forecast breaches what your commitment can tolerate, the response is Change: renegotiate, honestly and early. The signal every officer dreads — </w:t>
      </w:r>
      <w:r>
        <w:rPr>
          <w:rFonts w:ascii="Calibri" w:cs="Calibri" w:eastAsia="Calibri" w:hAnsi="Calibri"/>
          <w:i/>
          <w:iCs/>
          <w:color w:val="1A1A1A"/>
          <w:sz w:val="22"/>
          <w:szCs w:val="22"/>
        </w:rPr>
        <w:t xml:space="preserve">mission no longer achievable as tasked</w:t>
      </w:r>
      <w:r>
        <w:rPr>
          <w:rFonts w:ascii="Calibri" w:cs="Calibri" w:eastAsia="Calibri" w:hAnsi="Calibri"/>
          <w:color w:val="1A1A1A"/>
          <w:sz w:val="22"/>
          <w:szCs w:val="22"/>
        </w:rPr>
        <w:t xml:space="preserve"> — is, in this grammar, formal, mandatory, and blameless. Reaching it through no fault of your own is the system working; concealing it is the only failure available.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c>
          <w:tcPr>
            <w:shd w:fill="EDF1F6" w:val="clear"/>
            <w:tcMar>
              <w:top w:type="dxa" w:w="70"/>
              <w:left w:type="dxa" w:w="140"/>
              <w:bottom w:type="dxa" w:w="70"/>
              <w:right w:type="dxa" w:w="140"/>
            </w:tcMar>
          </w:tcPr>
          <w:p>
            <w:pPr>
              <w:spacing w:after="0"/>
            </w:pPr>
            <w:r>
              <w:rPr>
                <w:rFonts w:ascii="Arial" w:cs="Arial" w:eastAsia="Arial" w:hAnsi="Arial"/>
                <w:b/>
                <w:bCs/>
                <w:color w:val="1F3A5F"/>
                <w:sz w:val="18"/>
                <w:szCs w:val="18"/>
              </w:rPr>
              <w:t xml:space="preserve">IN UNIFORM</w:t>
            </w:r>
          </w:p>
        </w:tc>
        <w:tc>
          <w:tcPr>
            <w:shd w:fill="EEF3EC" w:val="clear"/>
            <w:tcMar>
              <w:top w:type="dxa" w:w="70"/>
              <w:left w:type="dxa" w:w="140"/>
              <w:bottom w:type="dxa" w:w="70"/>
              <w:right w:type="dxa" w:w="140"/>
            </w:tcMar>
          </w:tcPr>
          <w:p>
            <w:pPr>
              <w:spacing w:after="0"/>
            </w:pPr>
            <w:r>
              <w:rPr>
                <w:rFonts w:ascii="Arial" w:cs="Arial" w:eastAsia="Arial" w:hAnsi="Arial"/>
                <w:b/>
                <w:bCs/>
                <w:color w:val="2F5233"/>
                <w:sz w:val="18"/>
                <w:szCs w:val="18"/>
              </w:rPr>
              <w:t xml:space="preserve">IN THE WORKPLACE</w:t>
            </w:r>
          </w:p>
        </w:tc>
      </w:tr>
      <w:tr>
        <w:tc>
          <w:tcPr>
            <w:tcMar>
              <w:top w:type="dxa" w:w="90"/>
              <w:left w:type="dxa" w:w="140"/>
              <w:bottom w:type="dxa" w:w="90"/>
              <w:right w:type="dxa" w:w="140"/>
            </w:tcMar>
          </w:tcPr>
          <w:p>
            <w:pPr>
              <w:spacing w:after="60" w:line="264"/>
            </w:pPr>
            <w:r>
              <w:rPr>
                <w:rFonts w:ascii="Calibri" w:cs="Calibri" w:eastAsia="Calibri" w:hAnsi="Calibri"/>
                <w:b/>
                <w:bCs/>
                <w:color w:val="1A1A1A"/>
                <w:sz w:val="20"/>
                <w:szCs w:val="20"/>
              </w:rPr>
              <w:t xml:space="preserve">The tasking: </w:t>
            </w:r>
            <w:r>
              <w:rPr>
                <w:rFonts w:ascii="Calibri" w:cs="Calibri" w:eastAsia="Calibri" w:hAnsi="Calibri"/>
                <w:color w:val="1A1A1A"/>
                <w:sz w:val="20"/>
                <w:szCs w:val="20"/>
              </w:rPr>
              <w:t xml:space="preserve">boarding-party capability certified before the ship sails on the 14th.</w:t>
            </w:r>
          </w:p>
          <w:p>
            <w:pPr>
              <w:spacing w:after="60" w:line="264"/>
            </w:pPr>
            <w:r>
              <w:rPr>
                <w:rFonts w:ascii="Calibri" w:cs="Calibri" w:eastAsia="Calibri" w:hAnsi="Calibri"/>
                <w:b/>
                <w:bCs/>
                <w:color w:val="1A1A1A"/>
                <w:sz w:val="20"/>
                <w:szCs w:val="20"/>
              </w:rPr>
              <w:t xml:space="preserve">Threat: </w:t>
            </w:r>
            <w:r>
              <w:rPr>
                <w:rFonts w:ascii="Calibri" w:cs="Calibri" w:eastAsia="Calibri" w:hAnsi="Calibri"/>
                <w:color w:val="1A1A1A"/>
                <w:sz w:val="20"/>
                <w:szCs w:val="20"/>
              </w:rPr>
              <w:t xml:space="preserve">“the range slot may be cancelled again — it has slipped twice this quarter.”</w:t>
            </w:r>
          </w:p>
          <w:p>
            <w:pPr>
              <w:spacing w:after="60" w:line="264"/>
            </w:pPr>
            <w:r>
              <w:rPr>
                <w:rFonts w:ascii="Calibri" w:cs="Calibri" w:eastAsia="Calibri" w:hAnsi="Calibri"/>
                <w:b/>
                <w:bCs/>
                <w:color w:val="1A1A1A"/>
                <w:sz w:val="20"/>
                <w:szCs w:val="20"/>
              </w:rPr>
              <w:t xml:space="preserve">Risk: </w:t>
            </w:r>
            <w:r>
              <w:rPr>
                <w:rFonts w:ascii="Calibri" w:cs="Calibri" w:eastAsia="Calibri" w:hAnsi="Calibri"/>
                <w:color w:val="1A1A1A"/>
                <w:sz w:val="20"/>
                <w:szCs w:val="20"/>
              </w:rPr>
              <w:t xml:space="preserve">“certification will miss the sailing date because the range slot is cancelled — 40%.”</w:t>
            </w:r>
          </w:p>
          <w:p>
            <w:pPr>
              <w:spacing w:after="60" w:line="264"/>
            </w:pPr>
            <w:r>
              <w:rPr>
                <w:rFonts w:ascii="Calibri" w:cs="Calibri" w:eastAsia="Calibri" w:hAnsi="Calibri"/>
                <w:b/>
                <w:bCs/>
                <w:color w:val="1A1A1A"/>
                <w:sz w:val="20"/>
                <w:szCs w:val="20"/>
              </w:rPr>
              <w:t xml:space="preserve">Response: </w:t>
            </w:r>
            <w:r>
              <w:rPr>
                <w:rFonts w:ascii="Calibri" w:cs="Calibri" w:eastAsia="Calibri" w:hAnsi="Calibri"/>
                <w:color w:val="1A1A1A"/>
                <w:sz w:val="20"/>
                <w:szCs w:val="20"/>
              </w:rPr>
              <w:t xml:space="preserve">Adapt — book the alternative range now as a fallback (a work package, justified by the risk). Trigger: confirmation not received by the 5th.</w:t>
            </w:r>
          </w:p>
        </w:tc>
        <w:tc>
          <w:tcPr>
            <w:tcMar>
              <w:top w:type="dxa" w:w="90"/>
              <w:left w:type="dxa" w:w="140"/>
              <w:bottom w:type="dxa" w:w="90"/>
              <w:right w:type="dxa" w:w="140"/>
            </w:tcMar>
          </w:tcPr>
          <w:p>
            <w:pPr>
              <w:spacing w:after="60" w:line="264"/>
            </w:pPr>
            <w:r>
              <w:rPr>
                <w:rFonts w:ascii="Calibri" w:cs="Calibri" w:eastAsia="Calibri" w:hAnsi="Calibri"/>
                <w:b/>
                <w:bCs/>
                <w:color w:val="1A1A1A"/>
                <w:sz w:val="20"/>
                <w:szCs w:val="20"/>
              </w:rPr>
              <w:t xml:space="preserve">The commitment: </w:t>
            </w:r>
            <w:r>
              <w:rPr>
                <w:rFonts w:ascii="Calibri" w:cs="Calibri" w:eastAsia="Calibri" w:hAnsi="Calibri"/>
                <w:color w:val="1A1A1A"/>
                <w:sz w:val="20"/>
                <w:szCs w:val="20"/>
              </w:rPr>
              <w:t xml:space="preserve">the client migration completes by quarter-end, at the agreed fee.</w:t>
            </w:r>
          </w:p>
          <w:p>
            <w:pPr>
              <w:spacing w:after="60" w:line="264"/>
            </w:pPr>
            <w:r>
              <w:rPr>
                <w:rFonts w:ascii="Calibri" w:cs="Calibri" w:eastAsia="Calibri" w:hAnsi="Calibri"/>
                <w:b/>
                <w:bCs/>
                <w:color w:val="1A1A1A"/>
                <w:sz w:val="20"/>
                <w:szCs w:val="20"/>
              </w:rPr>
              <w:t xml:space="preserve">Threat: </w:t>
            </w:r>
            <w:r>
              <w:rPr>
                <w:rFonts w:ascii="Calibri" w:cs="Calibri" w:eastAsia="Calibri" w:hAnsi="Calibri"/>
                <w:color w:val="1A1A1A"/>
                <w:sz w:val="20"/>
                <w:szCs w:val="20"/>
              </w:rPr>
              <w:t xml:space="preserve">“the client's security review may overrun — their last two reviews did.”</w:t>
            </w:r>
          </w:p>
          <w:p>
            <w:pPr>
              <w:spacing w:after="60" w:line="264"/>
            </w:pPr>
            <w:r>
              <w:rPr>
                <w:rFonts w:ascii="Calibri" w:cs="Calibri" w:eastAsia="Calibri" w:hAnsi="Calibri"/>
                <w:b/>
                <w:bCs/>
                <w:color w:val="1A1A1A"/>
                <w:sz w:val="20"/>
                <w:szCs w:val="20"/>
              </w:rPr>
              <w:t xml:space="preserve">Risk: </w:t>
            </w:r>
            <w:r>
              <w:rPr>
                <w:rFonts w:ascii="Calibri" w:cs="Calibri" w:eastAsia="Calibri" w:hAnsi="Calibri"/>
                <w:color w:val="1A1A1A"/>
                <w:sz w:val="20"/>
                <w:szCs w:val="20"/>
              </w:rPr>
              <w:t xml:space="preserve">“the migration will slip three weeks because the security review overruns — 50%.”</w:t>
            </w:r>
          </w:p>
          <w:p>
            <w:pPr>
              <w:spacing w:after="60" w:line="264"/>
            </w:pPr>
            <w:r>
              <w:rPr>
                <w:rFonts w:ascii="Calibri" w:cs="Calibri" w:eastAsia="Calibri" w:hAnsi="Calibri"/>
                <w:b/>
                <w:bCs/>
                <w:color w:val="1A1A1A"/>
                <w:sz w:val="20"/>
                <w:szCs w:val="20"/>
              </w:rPr>
              <w:t xml:space="preserve">Response: </w:t>
            </w:r>
            <w:r>
              <w:rPr>
                <w:rFonts w:ascii="Calibri" w:cs="Calibri" w:eastAsia="Calibri" w:hAnsi="Calibri"/>
                <w:color w:val="1A1A1A"/>
                <w:sz w:val="20"/>
                <w:szCs w:val="20"/>
              </w:rPr>
              <w:t xml:space="preserve">Adapt — re-sequence to put review-independent work first. Trigger: review not started by the 10th; if it fires, Change — renegotiate the date that week, not at quarter-end.</w:t>
            </w:r>
          </w:p>
        </w:tc>
      </w:tr>
    </w:tbl>
    <w:p>
      <w:r>
        <w:br w:type="page"/>
      </w:r>
    </w:p>
    <w:p>
      <w:pPr>
        <w:pStyle w:val="Heading1"/>
        <w:spacing w:after="170" w:before="320"/>
      </w:pPr>
      <w:r>
        <w:rPr>
          <w:rFonts w:ascii="Arial" w:cs="Arial" w:eastAsia="Arial" w:hAnsi="Arial"/>
          <w:b/>
          <w:bCs/>
          <w:color w:val="2F5233"/>
          <w:sz w:val="31"/>
          <w:szCs w:val="31"/>
        </w:rPr>
        <w:t xml:space="preserve">4.  The team circle in practice</w:t>
      </w:r>
    </w:p>
    <w:p>
      <w:pPr>
        <w:spacing w:after="150" w:line="276"/>
      </w:pPr>
      <w:r>
        <w:rPr>
          <w:rFonts w:ascii="Calibri" w:cs="Calibri" w:eastAsia="Calibri" w:hAnsi="Calibri"/>
          <w:color w:val="1A1A1A"/>
          <w:sz w:val="22"/>
          <w:szCs w:val="22"/>
        </w:rPr>
        <w:t xml:space="preserve">The team circle's commitments are standing conditions, not delivery dates: </w:t>
      </w:r>
      <w:r>
        <w:rPr>
          <w:rFonts w:ascii="Calibri" w:cs="Calibri" w:eastAsia="Calibri" w:hAnsi="Calibri"/>
          <w:b/>
          <w:bCs/>
          <w:color w:val="1A1A1A"/>
          <w:sz w:val="22"/>
          <w:szCs w:val="22"/>
        </w:rPr>
        <w:t xml:space="preserve">the team remains capable</w:t>
      </w:r>
      <w:r>
        <w:rPr>
          <w:rFonts w:ascii="Calibri" w:cs="Calibri" w:eastAsia="Calibri" w:hAnsi="Calibri"/>
          <w:color w:val="1A1A1A"/>
          <w:sz w:val="22"/>
          <w:szCs w:val="22"/>
        </w:rPr>
        <w:t xml:space="preserve"> (the skills, numbers and readiness the task assumes) and </w:t>
      </w:r>
      <w:r>
        <w:rPr>
          <w:rFonts w:ascii="Calibri" w:cs="Calibri" w:eastAsia="Calibri" w:hAnsi="Calibri"/>
          <w:b/>
          <w:bCs/>
          <w:color w:val="1A1A1A"/>
          <w:sz w:val="22"/>
          <w:szCs w:val="22"/>
        </w:rPr>
        <w:t xml:space="preserve">the team remains cohesive</w:t>
      </w:r>
      <w:r>
        <w:rPr>
          <w:rFonts w:ascii="Calibri" w:cs="Calibri" w:eastAsia="Calibri" w:hAnsi="Calibri"/>
          <w:color w:val="1A1A1A"/>
          <w:sz w:val="22"/>
          <w:szCs w:val="22"/>
        </w:rPr>
        <w:t xml:space="preserve"> (it holds together under pressure). Write each as a condition with a threshold you would defend — “two qualified leading hands per watch”, “no single point of knowledge on the payments system” — because a condition without a threshold cannot be forecast against, and a leader who cannot say what “fit to fight” means for their team is guessing.</w:t>
      </w:r>
    </w:p>
    <w:p>
      <w:pPr>
        <w:spacing w:after="150" w:line="276"/>
      </w:pPr>
      <w:r>
        <w:rPr>
          <w:rFonts w:ascii="Calibri" w:cs="Calibri" w:eastAsia="Calibri" w:hAnsi="Calibri"/>
          <w:color w:val="1A1A1A"/>
          <w:sz w:val="22"/>
          <w:szCs w:val="22"/>
        </w:rPr>
        <w:t xml:space="preserve">Threats to this circle come overwhelmingly from one source: </w:t>
      </w:r>
      <w:r>
        <w:rPr>
          <w:rFonts w:ascii="Calibri" w:cs="Calibri" w:eastAsia="Calibri" w:hAnsi="Calibri"/>
          <w:b/>
          <w:bCs/>
          <w:color w:val="1A1A1A"/>
          <w:sz w:val="22"/>
          <w:szCs w:val="22"/>
        </w:rPr>
        <w:t xml:space="preserve">resources</w:t>
      </w:r>
      <w:r>
        <w:rPr>
          <w:rFonts w:ascii="Calibri" w:cs="Calibri" w:eastAsia="Calibri" w:hAnsi="Calibri"/>
          <w:color w:val="1A1A1A"/>
          <w:sz w:val="22"/>
          <w:szCs w:val="22"/>
        </w:rPr>
        <w:t xml:space="preserve"> — fatigue accumulating faster than rest, attrition and postings, a skills pipeline running dry, a conflict souring the atmosphere. And note where a breach goes: </w:t>
      </w:r>
      <w:r>
        <w:rPr>
          <w:rFonts w:ascii="Calibri" w:cs="Calibri" w:eastAsia="Calibri" w:hAnsi="Calibri"/>
          <w:b/>
          <w:bCs/>
          <w:color w:val="1A1A1A"/>
          <w:sz w:val="22"/>
          <w:szCs w:val="22"/>
        </w:rPr>
        <w:t xml:space="preserve">inward</w:t>
      </w:r>
      <w:r>
        <w:rPr>
          <w:rFonts w:ascii="Calibri" w:cs="Calibri" w:eastAsia="Calibri" w:hAnsi="Calibri"/>
          <w:color w:val="1A1A1A"/>
          <w:sz w:val="22"/>
          <w:szCs w:val="22"/>
        </w:rPr>
        <w:t xml:space="preserve">. A team-circle breach is reported up and across your own organisation — to whoever owns manning, training, or the people-policy concerned — never outward to the customer of the task. The task circle harms outward; the team circle harms inward. Knowing which direction a problem travels is half of communicating it properly, and it is why “the team is tired” belongs in a different conversation from “the delivery will be late” — even when one is causing the other. When it is causing the other, you hold two register entries: the team-circle breach (routed inward, to the policy owner) and the task-circle risk it creates (assessed against the delivery). Two entries, two routes, one cause — collapse them and one of the two conversations silently fails to happen.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c>
          <w:tcPr>
            <w:shd w:fill="EDF1F6" w:val="clear"/>
            <w:tcMar>
              <w:top w:type="dxa" w:w="70"/>
              <w:left w:type="dxa" w:w="140"/>
              <w:bottom w:type="dxa" w:w="70"/>
              <w:right w:type="dxa" w:w="140"/>
            </w:tcMar>
          </w:tcPr>
          <w:p>
            <w:pPr>
              <w:spacing w:after="0"/>
            </w:pPr>
            <w:r>
              <w:rPr>
                <w:rFonts w:ascii="Arial" w:cs="Arial" w:eastAsia="Arial" w:hAnsi="Arial"/>
                <w:b/>
                <w:bCs/>
                <w:color w:val="1F3A5F"/>
                <w:sz w:val="18"/>
                <w:szCs w:val="18"/>
              </w:rPr>
              <w:t xml:space="preserve">IN UNIFORM</w:t>
            </w:r>
          </w:p>
        </w:tc>
        <w:tc>
          <w:tcPr>
            <w:shd w:fill="EEF3EC" w:val="clear"/>
            <w:tcMar>
              <w:top w:type="dxa" w:w="70"/>
              <w:left w:type="dxa" w:w="140"/>
              <w:bottom w:type="dxa" w:w="70"/>
              <w:right w:type="dxa" w:w="140"/>
            </w:tcMar>
          </w:tcPr>
          <w:p>
            <w:pPr>
              <w:spacing w:after="0"/>
            </w:pPr>
            <w:r>
              <w:rPr>
                <w:rFonts w:ascii="Arial" w:cs="Arial" w:eastAsia="Arial" w:hAnsi="Arial"/>
                <w:b/>
                <w:bCs/>
                <w:color w:val="2F5233"/>
                <w:sz w:val="18"/>
                <w:szCs w:val="18"/>
              </w:rPr>
              <w:t xml:space="preserve">IN THE WORKPLACE</w:t>
            </w:r>
          </w:p>
        </w:tc>
      </w:tr>
      <w:tr>
        <w:tc>
          <w:tcPr>
            <w:tcMar>
              <w:top w:type="dxa" w:w="90"/>
              <w:left w:type="dxa" w:w="140"/>
              <w:bottom w:type="dxa" w:w="90"/>
              <w:right w:type="dxa" w:w="140"/>
            </w:tcMar>
          </w:tcPr>
          <w:p>
            <w:pPr>
              <w:spacing w:after="60" w:line="264"/>
            </w:pPr>
            <w:r>
              <w:rPr>
                <w:rFonts w:ascii="Calibri" w:cs="Calibri" w:eastAsia="Calibri" w:hAnsi="Calibri"/>
                <w:b/>
                <w:bCs/>
                <w:color w:val="1A1A1A"/>
                <w:sz w:val="20"/>
                <w:szCs w:val="20"/>
              </w:rPr>
              <w:t xml:space="preserve">Condition: </w:t>
            </w:r>
            <w:r>
              <w:rPr>
                <w:rFonts w:ascii="Calibri" w:cs="Calibri" w:eastAsia="Calibri" w:hAnsi="Calibri"/>
                <w:color w:val="1A1A1A"/>
                <w:sz w:val="20"/>
                <w:szCs w:val="20"/>
              </w:rPr>
              <w:t xml:space="preserve">“each watch keeps two qualified leading hands.”</w:t>
            </w:r>
          </w:p>
          <w:p>
            <w:pPr>
              <w:spacing w:after="60" w:line="264"/>
            </w:pPr>
            <w:r>
              <w:rPr>
                <w:rFonts w:ascii="Calibri" w:cs="Calibri" w:eastAsia="Calibri" w:hAnsi="Calibri"/>
                <w:b/>
                <w:bCs/>
                <w:color w:val="1A1A1A"/>
                <w:sz w:val="20"/>
                <w:szCs w:val="20"/>
              </w:rPr>
              <w:t xml:space="preserve">Threat: </w:t>
            </w:r>
            <w:r>
              <w:rPr>
                <w:rFonts w:ascii="Calibri" w:cs="Calibri" w:eastAsia="Calibri" w:hAnsi="Calibri"/>
                <w:color w:val="1A1A1A"/>
                <w:sz w:val="20"/>
                <w:szCs w:val="20"/>
              </w:rPr>
              <w:t xml:space="preserve">“LH Carter's relief may gap for eight weeks after her posting.”</w:t>
            </w:r>
          </w:p>
          <w:p>
            <w:pPr>
              <w:spacing w:after="60" w:line="264"/>
            </w:pPr>
            <w:r>
              <w:rPr>
                <w:rFonts w:ascii="Calibri" w:cs="Calibri" w:eastAsia="Calibri" w:hAnsi="Calibri"/>
                <w:b/>
                <w:bCs/>
                <w:color w:val="1A1A1A"/>
                <w:sz w:val="20"/>
                <w:szCs w:val="20"/>
              </w:rPr>
              <w:t xml:space="preserve">Forecast breach: </w:t>
            </w:r>
            <w:r>
              <w:rPr>
                <w:rFonts w:ascii="Calibri" w:cs="Calibri" w:eastAsia="Calibri" w:hAnsi="Calibri"/>
                <w:color w:val="1A1A1A"/>
                <w:sz w:val="20"/>
                <w:szCs w:val="20"/>
              </w:rPr>
              <w:t xml:space="preserve">“the port watch will fall to one qualified LH from March — 80%.” Routed to the squadron manning authority now, not in March.</w:t>
            </w:r>
          </w:p>
          <w:p>
            <w:pPr>
              <w:spacing w:after="60" w:line="264"/>
            </w:pPr>
            <w:r>
              <w:rPr>
                <w:rFonts w:ascii="Calibri" w:cs="Calibri" w:eastAsia="Calibri" w:hAnsi="Calibri"/>
                <w:b/>
                <w:bCs/>
                <w:color w:val="1A1A1A"/>
                <w:sz w:val="20"/>
                <w:szCs w:val="20"/>
              </w:rPr>
              <w:t xml:space="preserve">Parallel task entry: </w:t>
            </w:r>
            <w:r>
              <w:rPr>
                <w:rFonts w:ascii="Calibri" w:cs="Calibri" w:eastAsia="Calibri" w:hAnsi="Calibri"/>
                <w:color w:val="1A1A1A"/>
                <w:sz w:val="20"/>
                <w:szCs w:val="20"/>
              </w:rPr>
              <w:t xml:space="preserve">“boardings will reduce tempo because the port watch is single-LH — 45%.”</w:t>
            </w:r>
          </w:p>
        </w:tc>
        <w:tc>
          <w:tcPr>
            <w:tcMar>
              <w:top w:type="dxa" w:w="90"/>
              <w:left w:type="dxa" w:w="140"/>
              <w:bottom w:type="dxa" w:w="90"/>
              <w:right w:type="dxa" w:w="140"/>
            </w:tcMar>
          </w:tcPr>
          <w:p>
            <w:pPr>
              <w:spacing w:after="60" w:line="264"/>
            </w:pPr>
            <w:r>
              <w:rPr>
                <w:rFonts w:ascii="Calibri" w:cs="Calibri" w:eastAsia="Calibri" w:hAnsi="Calibri"/>
                <w:b/>
                <w:bCs/>
                <w:color w:val="1A1A1A"/>
                <w:sz w:val="20"/>
                <w:szCs w:val="20"/>
              </w:rPr>
              <w:t xml:space="preserve">Condition: </w:t>
            </w:r>
            <w:r>
              <w:rPr>
                <w:rFonts w:ascii="Calibri" w:cs="Calibri" w:eastAsia="Calibri" w:hAnsi="Calibri"/>
                <w:color w:val="1A1A1A"/>
                <w:sz w:val="20"/>
                <w:szCs w:val="20"/>
              </w:rPr>
              <w:t xml:space="preserve">“no single point of knowledge on the payments system.”</w:t>
            </w:r>
          </w:p>
          <w:p>
            <w:pPr>
              <w:spacing w:after="60" w:line="264"/>
            </w:pPr>
            <w:r>
              <w:rPr>
                <w:rFonts w:ascii="Calibri" w:cs="Calibri" w:eastAsia="Calibri" w:hAnsi="Calibri"/>
                <w:b/>
                <w:bCs/>
                <w:color w:val="1A1A1A"/>
                <w:sz w:val="20"/>
                <w:szCs w:val="20"/>
              </w:rPr>
              <w:t xml:space="preserve">Threat: </w:t>
            </w:r>
            <w:r>
              <w:rPr>
                <w:rFonts w:ascii="Calibri" w:cs="Calibri" w:eastAsia="Calibri" w:hAnsi="Calibri"/>
                <w:color w:val="1A1A1A"/>
                <w:sz w:val="20"/>
                <w:szCs w:val="20"/>
              </w:rPr>
              <w:t xml:space="preserve">“Priya, sole payments expert, is interviewing elsewhere.”</w:t>
            </w:r>
          </w:p>
          <w:p>
            <w:pPr>
              <w:spacing w:after="60" w:line="264"/>
            </w:pPr>
            <w:r>
              <w:rPr>
                <w:rFonts w:ascii="Calibri" w:cs="Calibri" w:eastAsia="Calibri" w:hAnsi="Calibri"/>
                <w:b/>
                <w:bCs/>
                <w:color w:val="1A1A1A"/>
                <w:sz w:val="20"/>
                <w:szCs w:val="20"/>
              </w:rPr>
              <w:t xml:space="preserve">Forecast breach: </w:t>
            </w:r>
            <w:r>
              <w:rPr>
                <w:rFonts w:ascii="Calibri" w:cs="Calibri" w:eastAsia="Calibri" w:hAnsi="Calibri"/>
                <w:color w:val="1A1A1A"/>
                <w:sz w:val="20"/>
                <w:szCs w:val="20"/>
              </w:rPr>
              <w:t xml:space="preserve">“payments knowledge will be single-pointed to zero if she leaves — 35%.” Routed to your head of engineering now — a people-risk conversation, not a delivery report.</w:t>
            </w:r>
          </w:p>
          <w:p>
            <w:pPr>
              <w:spacing w:after="60" w:line="264"/>
            </w:pPr>
            <w:r>
              <w:rPr>
                <w:rFonts w:ascii="Calibri" w:cs="Calibri" w:eastAsia="Calibri" w:hAnsi="Calibri"/>
                <w:b/>
                <w:bCs/>
                <w:color w:val="1A1A1A"/>
                <w:sz w:val="20"/>
                <w:szCs w:val="20"/>
              </w:rPr>
              <w:t xml:space="preserve">Parallel task entry: </w:t>
            </w:r>
            <w:r>
              <w:rPr>
                <w:rFonts w:ascii="Calibri" w:cs="Calibri" w:eastAsia="Calibri" w:hAnsi="Calibri"/>
                <w:color w:val="1A1A1A"/>
                <w:sz w:val="20"/>
                <w:szCs w:val="20"/>
              </w:rPr>
              <w:t xml:space="preserve">“the release will slip if payments loses its expert mid-cycle — 30%.”</w:t>
            </w:r>
          </w:p>
        </w:tc>
      </w:tr>
    </w:tbl>
    <w:p>
      <w:r>
        <w:br w:type="page"/>
      </w:r>
    </w:p>
    <w:p>
      <w:pPr>
        <w:pStyle w:val="Heading1"/>
        <w:spacing w:after="170" w:before="320"/>
      </w:pPr>
      <w:r>
        <w:rPr>
          <w:rFonts w:ascii="Arial" w:cs="Arial" w:eastAsia="Arial" w:hAnsi="Arial"/>
          <w:b/>
          <w:bCs/>
          <w:color w:val="2F5233"/>
          <w:sz w:val="31"/>
          <w:szCs w:val="31"/>
        </w:rPr>
        <w:t xml:space="preserve">5.  The individual circle in practice</w:t>
      </w:r>
    </w:p>
    <w:p>
      <w:pPr>
        <w:spacing w:after="150" w:line="276"/>
      </w:pPr>
      <w:r>
        <w:rPr>
          <w:rFonts w:ascii="Calibri" w:cs="Calibri" w:eastAsia="Calibri" w:hAnsi="Calibri"/>
          <w:color w:val="1A1A1A"/>
          <w:sz w:val="22"/>
          <w:szCs w:val="22"/>
        </w:rPr>
        <w:t xml:space="preserve">This circle holds a two-way commitment with each person: they commit effort, skill and loyalty; you commit development, fairness and honest dealing. Most of what goes wrong between leaders and their people is a threat to that exchange going unnoticed until it lands — the promised course quietly dropped, the board unprepared-for, the pressure at home colliding with the surge at work. The Royal Navy institutionalised the answer generations ago in the Divisional System: someone is </w:t>
      </w:r>
      <w:r>
        <w:rPr>
          <w:rFonts w:ascii="Calibri" w:cs="Calibri" w:eastAsia="Calibri" w:hAnsi="Calibri"/>
          <w:b/>
          <w:bCs/>
          <w:color w:val="1A1A1A"/>
          <w:sz w:val="22"/>
          <w:szCs w:val="22"/>
        </w:rPr>
        <w:t xml:space="preserve">accountable for knowing</w:t>
      </w:r>
      <w:r>
        <w:rPr>
          <w:rFonts w:ascii="Calibri" w:cs="Calibri" w:eastAsia="Calibri" w:hAnsi="Calibri"/>
          <w:color w:val="1A1A1A"/>
          <w:sz w:val="22"/>
          <w:szCs w:val="22"/>
        </w:rPr>
        <w:t xml:space="preserve"> each person's circumstances, precisely because those circumstances are threats to commitments. A good Divisional Officer keeps that register in their head. Outside the services no such institution exists — the line manager is the Divisional Officer, unappointed and untrained — which is exactly why the discipline matters </w:t>
      </w:r>
      <w:r>
        <w:rPr>
          <w:rFonts w:ascii="Calibri" w:cs="Calibri" w:eastAsia="Calibri" w:hAnsi="Calibri"/>
          <w:i/>
          <w:iCs/>
          <w:color w:val="1A1A1A"/>
          <w:sz w:val="22"/>
          <w:szCs w:val="22"/>
        </w:rPr>
        <w:t xml:space="preserve">more</w:t>
      </w:r>
      <w:r>
        <w:rPr>
          <w:rFonts w:ascii="Calibri" w:cs="Calibri" w:eastAsia="Calibri" w:hAnsi="Calibri"/>
          <w:color w:val="1A1A1A"/>
          <w:sz w:val="22"/>
          <w:szCs w:val="22"/>
        </w:rPr>
        <w:t xml:space="preserve"> in the workplace, not less.</w:t>
      </w:r>
    </w:p>
    <w:p>
      <w:pPr>
        <w:spacing w:after="150" w:line="276"/>
      </w:pPr>
      <w:r>
        <w:rPr>
          <w:rFonts w:ascii="Calibri" w:cs="Calibri" w:eastAsia="Calibri" w:hAnsi="Calibri"/>
          <w:color w:val="1A1A1A"/>
          <w:sz w:val="22"/>
          <w:szCs w:val="22"/>
        </w:rPr>
        <w:t xml:space="preserve">The craft, made systematic: for each person, know the commitments running both ways; capture threats to them as they surface (a date, a clash, a change in the weather of someone's demeanour — the quiet word is your reconnaissance); forecast honestly; and respond — usually an Adapt as small as a conversation, occasionally a Change as large as renegotiating what you had promised. Every entry carries a trigger, because the individual circle is where good intentions most reliably decay: “I must talk to him about the board” is a wish; “review on the 1st, before the board convenes on the 12th” is leadership.</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c>
          <w:tcPr>
            <w:shd w:fill="EDF1F6" w:val="clear"/>
            <w:tcMar>
              <w:top w:type="dxa" w:w="70"/>
              <w:left w:type="dxa" w:w="140"/>
              <w:bottom w:type="dxa" w:w="70"/>
              <w:right w:type="dxa" w:w="140"/>
            </w:tcMar>
          </w:tcPr>
          <w:p>
            <w:pPr>
              <w:spacing w:after="0"/>
            </w:pPr>
            <w:r>
              <w:rPr>
                <w:rFonts w:ascii="Arial" w:cs="Arial" w:eastAsia="Arial" w:hAnsi="Arial"/>
                <w:b/>
                <w:bCs/>
                <w:color w:val="1F3A5F"/>
                <w:sz w:val="18"/>
                <w:szCs w:val="18"/>
              </w:rPr>
              <w:t xml:space="preserve">IN UNIFORM</w:t>
            </w:r>
          </w:p>
        </w:tc>
        <w:tc>
          <w:tcPr>
            <w:shd w:fill="EEF3EC" w:val="clear"/>
            <w:tcMar>
              <w:top w:type="dxa" w:w="70"/>
              <w:left w:type="dxa" w:w="140"/>
              <w:bottom w:type="dxa" w:w="70"/>
              <w:right w:type="dxa" w:w="140"/>
            </w:tcMar>
          </w:tcPr>
          <w:p>
            <w:pPr>
              <w:spacing w:after="0"/>
            </w:pPr>
            <w:r>
              <w:rPr>
                <w:rFonts w:ascii="Arial" w:cs="Arial" w:eastAsia="Arial" w:hAnsi="Arial"/>
                <w:b/>
                <w:bCs/>
                <w:color w:val="2F5233"/>
                <w:sz w:val="18"/>
                <w:szCs w:val="18"/>
              </w:rPr>
              <w:t xml:space="preserve">IN THE WORKPLACE</w:t>
            </w:r>
          </w:p>
        </w:tc>
      </w:tr>
      <w:tr>
        <w:tc>
          <w:tcPr>
            <w:tcMar>
              <w:top w:type="dxa" w:w="90"/>
              <w:left w:type="dxa" w:w="140"/>
              <w:bottom w:type="dxa" w:w="90"/>
              <w:right w:type="dxa" w:w="140"/>
            </w:tcMar>
          </w:tcPr>
          <w:p>
            <w:pPr>
              <w:spacing w:after="60" w:line="264"/>
            </w:pPr>
            <w:r>
              <w:rPr>
                <w:rFonts w:ascii="Calibri" w:cs="Calibri" w:eastAsia="Calibri" w:hAnsi="Calibri"/>
                <w:b/>
                <w:bCs/>
                <w:color w:val="1A1A1A"/>
                <w:sz w:val="20"/>
                <w:szCs w:val="20"/>
              </w:rPr>
              <w:t xml:space="preserve">Commitment: </w:t>
            </w:r>
            <w:r>
              <w:rPr>
                <w:rFonts w:ascii="Calibri" w:cs="Calibri" w:eastAsia="Calibri" w:hAnsi="Calibri"/>
                <w:color w:val="1A1A1A"/>
                <w:sz w:val="20"/>
                <w:szCs w:val="20"/>
              </w:rPr>
              <w:t xml:space="preserve">AB Okafor is due her leading-rate board this cycle; you have committed to preparing her.</w:t>
            </w:r>
          </w:p>
          <w:p>
            <w:pPr>
              <w:spacing w:after="60" w:line="264"/>
            </w:pPr>
            <w:r>
              <w:rPr>
                <w:rFonts w:ascii="Calibri" w:cs="Calibri" w:eastAsia="Calibri" w:hAnsi="Calibri"/>
                <w:b/>
                <w:bCs/>
                <w:color w:val="1A1A1A"/>
                <w:sz w:val="20"/>
                <w:szCs w:val="20"/>
              </w:rPr>
              <w:t xml:space="preserve">Threat: </w:t>
            </w:r>
            <w:r>
              <w:rPr>
                <w:rFonts w:ascii="Calibri" w:cs="Calibri" w:eastAsia="Calibri" w:hAnsi="Calibri"/>
                <w:color w:val="1A1A1A"/>
                <w:sz w:val="20"/>
                <w:szCs w:val="20"/>
              </w:rPr>
              <w:t xml:space="preserve">“the work-up may consume her prep time — and her father is unwell at home.”</w:t>
            </w:r>
          </w:p>
          <w:p>
            <w:pPr>
              <w:spacing w:after="60" w:line="264"/>
            </w:pPr>
            <w:r>
              <w:rPr>
                <w:rFonts w:ascii="Calibri" w:cs="Calibri" w:eastAsia="Calibri" w:hAnsi="Calibri"/>
                <w:b/>
                <w:bCs/>
                <w:color w:val="1A1A1A"/>
                <w:sz w:val="20"/>
                <w:szCs w:val="20"/>
              </w:rPr>
              <w:t xml:space="preserve">Risk: </w:t>
            </w:r>
            <w:r>
              <w:rPr>
                <w:rFonts w:ascii="Calibri" w:cs="Calibri" w:eastAsia="Calibri" w:hAnsi="Calibri"/>
                <w:color w:val="1A1A1A"/>
                <w:sz w:val="20"/>
                <w:szCs w:val="20"/>
              </w:rPr>
              <w:t xml:space="preserve">“she will present unready because prep time is consumed — 60%.”</w:t>
            </w:r>
          </w:p>
          <w:p>
            <w:pPr>
              <w:spacing w:after="60" w:line="264"/>
            </w:pPr>
            <w:r>
              <w:rPr>
                <w:rFonts w:ascii="Calibri" w:cs="Calibri" w:eastAsia="Calibri" w:hAnsi="Calibri"/>
                <w:b/>
                <w:bCs/>
                <w:color w:val="1A1A1A"/>
                <w:sz w:val="20"/>
                <w:szCs w:val="20"/>
              </w:rPr>
              <w:t xml:space="preserve">Response: </w:t>
            </w:r>
            <w:r>
              <w:rPr>
                <w:rFonts w:ascii="Calibri" w:cs="Calibri" w:eastAsia="Calibri" w:hAnsi="Calibri"/>
                <w:color w:val="1A1A1A"/>
                <w:sz w:val="20"/>
                <w:szCs w:val="20"/>
              </w:rPr>
              <w:t xml:space="preserve">Adapt — protected prep watches, mentor assigned; the compassionate picture checked weekly by her DO. Trigger: prep incomplete by mid-month → Change: defer the board with her, deliberately, rather than let it fail by drift.</w:t>
            </w:r>
          </w:p>
        </w:tc>
        <w:tc>
          <w:tcPr>
            <w:tcMar>
              <w:top w:type="dxa" w:w="90"/>
              <w:left w:type="dxa" w:w="140"/>
              <w:bottom w:type="dxa" w:w="90"/>
              <w:right w:type="dxa" w:w="140"/>
            </w:tcMar>
          </w:tcPr>
          <w:p>
            <w:pPr>
              <w:spacing w:after="60" w:line="264"/>
            </w:pPr>
            <w:r>
              <w:rPr>
                <w:rFonts w:ascii="Calibri" w:cs="Calibri" w:eastAsia="Calibri" w:hAnsi="Calibri"/>
                <w:b/>
                <w:bCs/>
                <w:color w:val="1A1A1A"/>
                <w:sz w:val="20"/>
                <w:szCs w:val="20"/>
              </w:rPr>
              <w:t xml:space="preserve">Commitment: </w:t>
            </w:r>
            <w:r>
              <w:rPr>
                <w:rFonts w:ascii="Calibri" w:cs="Calibri" w:eastAsia="Calibri" w:hAnsi="Calibri"/>
                <w:color w:val="1A1A1A"/>
                <w:sz w:val="20"/>
                <w:szCs w:val="20"/>
              </w:rPr>
              <w:t xml:space="preserve">Dan was promised the architecture course this half — it matters to his promotion case.</w:t>
            </w:r>
          </w:p>
          <w:p>
            <w:pPr>
              <w:spacing w:after="60" w:line="264"/>
            </w:pPr>
            <w:r>
              <w:rPr>
                <w:rFonts w:ascii="Calibri" w:cs="Calibri" w:eastAsia="Calibri" w:hAnsi="Calibri"/>
                <w:b/>
                <w:bCs/>
                <w:color w:val="1A1A1A"/>
                <w:sz w:val="20"/>
                <w:szCs w:val="20"/>
              </w:rPr>
              <w:t xml:space="preserve">Threat: </w:t>
            </w:r>
            <w:r>
              <w:rPr>
                <w:rFonts w:ascii="Calibri" w:cs="Calibri" w:eastAsia="Calibri" w:hAnsi="Calibri"/>
                <w:color w:val="1A1A1A"/>
                <w:sz w:val="20"/>
                <w:szCs w:val="20"/>
              </w:rPr>
              <w:t xml:space="preserve">“the release surge may swallow the course window — and his visa renewal lands the same month.”</w:t>
            </w:r>
          </w:p>
          <w:p>
            <w:pPr>
              <w:spacing w:after="60" w:line="264"/>
            </w:pPr>
            <w:r>
              <w:rPr>
                <w:rFonts w:ascii="Calibri" w:cs="Calibri" w:eastAsia="Calibri" w:hAnsi="Calibri"/>
                <w:b/>
                <w:bCs/>
                <w:color w:val="1A1A1A"/>
                <w:sz w:val="20"/>
                <w:szCs w:val="20"/>
              </w:rPr>
              <w:t xml:space="preserve">Risk: </w:t>
            </w:r>
            <w:r>
              <w:rPr>
                <w:rFonts w:ascii="Calibri" w:cs="Calibri" w:eastAsia="Calibri" w:hAnsi="Calibri"/>
                <w:color w:val="1A1A1A"/>
                <w:sz w:val="20"/>
                <w:szCs w:val="20"/>
              </w:rPr>
              <w:t xml:space="preserve">“the promise will lapse because the surge takes priority — 55%.”</w:t>
            </w:r>
          </w:p>
          <w:p>
            <w:pPr>
              <w:spacing w:after="60" w:line="264"/>
            </w:pPr>
            <w:r>
              <w:rPr>
                <w:rFonts w:ascii="Calibri" w:cs="Calibri" w:eastAsia="Calibri" w:hAnsi="Calibri"/>
                <w:b/>
                <w:bCs/>
                <w:color w:val="1A1A1A"/>
                <w:sz w:val="20"/>
                <w:szCs w:val="20"/>
              </w:rPr>
              <w:t xml:space="preserve">Response: </w:t>
            </w:r>
            <w:r>
              <w:rPr>
                <w:rFonts w:ascii="Calibri" w:cs="Calibri" w:eastAsia="Calibri" w:hAnsi="Calibri"/>
                <w:color w:val="1A1A1A"/>
                <w:sz w:val="20"/>
                <w:szCs w:val="20"/>
              </w:rPr>
              <w:t xml:space="preserve">Adapt — book the later cohort now and say so before he has to ask. Trigger: booking unconfirmed by Friday. The promise kept deliberately is worth double the promise kept by luck.</w:t>
            </w:r>
          </w:p>
        </w:tc>
      </w:tr>
    </w:tbl>
    <w:p>
      <w:pPr>
        <w:spacing w:after="60"/>
      </w:pPr>
    </w:p>
    <w:tbl>
      <w:tblPr>
        <w:tblW w:type="dxa" w:w="9026"/>
        <w:tblBorders>
          <w:top w:val="single" w:color="2F5233" w:sz="6"/>
          <w:left w:val="single" w:color="2F5233" w:sz="6"/>
          <w:bottom w:val="single" w:color="2F5233" w:sz="6"/>
          <w:right w:val="single" w:color="2F5233" w:sz="6"/>
          <w:insideH w:val="single" w:color="auto" w:sz="4"/>
          <w:insideV w:val="single" w:color="auto" w:sz="4"/>
        </w:tblBorders>
      </w:tblPr>
      <w:tblGrid>
        <w:gridCol w:w="9026"/>
      </w:tblGrid>
      <w:tr>
        <w:tc>
          <w:tcPr>
            <w:shd w:fill="EEF3EC" w:val="clear"/>
            <w:tcMar>
              <w:top w:type="dxa" w:w="150"/>
              <w:left w:type="dxa" w:w="210"/>
              <w:bottom w:type="dxa" w:w="150"/>
              <w:right w:type="dxa" w:w="210"/>
            </w:tcMar>
          </w:tcPr>
          <w:p>
            <w:pPr>
              <w:spacing w:after="90"/>
            </w:pPr>
            <w:r>
              <w:rPr>
                <w:rFonts w:ascii="Arial" w:cs="Arial" w:eastAsia="Arial" w:hAnsi="Arial"/>
                <w:b/>
                <w:bCs/>
                <w:color w:val="2F5233"/>
                <w:sz w:val="22"/>
                <w:szCs w:val="22"/>
              </w:rPr>
              <w:t xml:space="preserve">The guardrail, operationalised</w:t>
            </w:r>
          </w:p>
          <w:p>
            <w:pPr>
              <w:spacing w:after="80" w:line="272"/>
            </w:pPr>
            <w:r>
              <w:rPr>
                <w:rFonts w:ascii="Calibri" w:cs="Calibri" w:eastAsia="Calibri" w:hAnsi="Calibri"/>
                <w:b/>
                <w:bCs/>
                <w:color w:val="1A1A1A"/>
                <w:sz w:val="22"/>
                <w:szCs w:val="22"/>
              </w:rPr>
              <w:t xml:space="preserve">The register describes your obligations and the threats to them — never the person as a subject. </w:t>
            </w:r>
            <w:r>
              <w:rPr>
                <w:rFonts w:ascii="Calibri" w:cs="Calibri" w:eastAsia="Calibri" w:hAnsi="Calibri"/>
                <w:color w:val="1A1A1A"/>
                <w:sz w:val="22"/>
                <w:szCs w:val="22"/>
              </w:rPr>
              <w:t xml:space="preserve">No medical detail, no hearsay, no speculation, nothing about protected characteristics, nothing you would not want them to read. When circumstances matter (the unwell father, the visa), record only their bearing on commitments, in words the person would recognise as care. If an entry reads as scrutiny, delete it — the discipline you are protecting is your attention, not your information.</w:t>
            </w:r>
          </w:p>
        </w:tc>
      </w:tr>
    </w:tbl>
    <w:p>
      <w:r>
        <w:br w:type="page"/>
      </w:r>
    </w:p>
    <w:p>
      <w:pPr>
        <w:pStyle w:val="Heading1"/>
        <w:spacing w:after="170" w:before="320"/>
      </w:pPr>
      <w:r>
        <w:rPr>
          <w:rFonts w:ascii="Arial" w:cs="Arial" w:eastAsia="Arial" w:hAnsi="Arial"/>
          <w:b/>
          <w:bCs/>
          <w:color w:val="2F5233"/>
          <w:sz w:val="31"/>
          <w:szCs w:val="31"/>
        </w:rPr>
        <w:t xml:space="preserve">6.  The fourth subject: yourself</w:t>
      </w:r>
    </w:p>
    <w:p>
      <w:pPr>
        <w:spacing w:after="150" w:line="276"/>
      </w:pPr>
      <w:r>
        <w:rPr>
          <w:rFonts w:ascii="Calibri" w:cs="Calibri" w:eastAsia="Calibri" w:hAnsi="Calibri"/>
          <w:color w:val="1A1A1A"/>
          <w:sz w:val="22"/>
          <w:szCs w:val="22"/>
        </w:rPr>
        <w:t xml:space="preserve">This chapter is not in Adair, and not in the concept paper; it is derived here, in one move, and flagged honestly as such. All three circles depend on one shared resource: </w:t>
      </w:r>
      <w:r>
        <w:rPr>
          <w:rFonts w:ascii="Calibri" w:cs="Calibri" w:eastAsia="Calibri" w:hAnsi="Calibri"/>
          <w:b/>
          <w:bCs/>
          <w:color w:val="1A1A1A"/>
          <w:sz w:val="22"/>
          <w:szCs w:val="22"/>
        </w:rPr>
        <w:t xml:space="preserve">your own capacity</w:t>
      </w:r>
      <w:r>
        <w:rPr>
          <w:rFonts w:ascii="Calibri" w:cs="Calibri" w:eastAsia="Calibri" w:hAnsi="Calibri"/>
          <w:color w:val="1A1A1A"/>
          <w:sz w:val="22"/>
          <w:szCs w:val="22"/>
        </w:rPr>
        <w:t xml:space="preserve">. The framework already treats planned resources as a standing source of threat — their availability, capability and condition may not hold. Apply that rule reflexively and the conclusion is unavoidable: fatigue, overload, or erosion of the leader is a threat to </w:t>
      </w:r>
      <w:r>
        <w:rPr>
          <w:rFonts w:ascii="Calibri" w:cs="Calibri" w:eastAsia="Calibri" w:hAnsi="Calibri"/>
          <w:b/>
          <w:bCs/>
          <w:color w:val="1A1A1A"/>
          <w:sz w:val="22"/>
          <w:szCs w:val="22"/>
        </w:rPr>
        <w:t xml:space="preserve">every commitment in all three circles simultaneously</w:t>
      </w:r>
      <w:r>
        <w:rPr>
          <w:rFonts w:ascii="Calibri" w:cs="Calibri" w:eastAsia="Calibri" w:hAnsi="Calibri"/>
          <w:color w:val="1A1A1A"/>
          <w:sz w:val="22"/>
          <w:szCs w:val="22"/>
        </w:rPr>
        <w:t xml:space="preserve">. The services call the failure mode command fatigue; the workplace calls it burnout; the register entry is identical.</w:t>
      </w:r>
    </w:p>
    <w:p>
      <w:pPr>
        <w:spacing w:after="150" w:line="276"/>
      </w:pPr>
      <w:r>
        <w:rPr>
          <w:rFonts w:ascii="Calibri" w:cs="Calibri" w:eastAsia="Calibri" w:hAnsi="Calibri"/>
          <w:color w:val="1A1A1A"/>
          <w:sz w:val="22"/>
          <w:szCs w:val="22"/>
        </w:rPr>
        <w:t xml:space="preserve">That makes monitoring your own capacity a duty, not an indulgence — the same duty you owe any single point of failure. Practically: keep two or three honest conditions on yourself (“sleeping enough to judge well”, “no more than N consecutive weeks at surge tempo”, “someone competent can hold the reins for a week”), capture threats to them like any others, and respond with the same three options. Accept, consciously and time-bounded (“the work-up costs sleep; review at its end, not later”). Adapt (delegate a circle's watch-keeping for a period; take the leave; build the deputy — which is also a team-circle investment). Or Change — renegotiate what you have taken on, upward and honestly, before the forecast breaches all three circles at once. The one-sentence test applies to you too: if you cannot say why your own condition is green, it probably is not.</w:t>
      </w:r>
    </w:p>
    <w:p>
      <w:r>
        <w:br w:type="page"/>
      </w:r>
    </w:p>
    <w:p>
      <w:pPr>
        <w:pStyle w:val="Heading1"/>
        <w:spacing w:after="170" w:before="320"/>
      </w:pPr>
      <w:r>
        <w:rPr>
          <w:rFonts w:ascii="Arial" w:cs="Arial" w:eastAsia="Arial" w:hAnsi="Arial"/>
          <w:b/>
          <w:bCs/>
          <w:color w:val="2F5233"/>
          <w:sz w:val="31"/>
          <w:szCs w:val="31"/>
        </w:rPr>
        <w:t xml:space="preserve">7.  The weekly drill</w:t>
      </w:r>
    </w:p>
    <w:p>
      <w:pPr>
        <w:spacing w:after="150" w:line="276"/>
      </w:pPr>
      <w:r>
        <w:rPr>
          <w:rFonts w:ascii="Calibri" w:cs="Calibri" w:eastAsia="Calibri" w:hAnsi="Calibri"/>
          <w:color w:val="1A1A1A"/>
          <w:sz w:val="22"/>
          <w:szCs w:val="22"/>
        </w:rPr>
        <w:t xml:space="preserve">The rhythm is minutes, not meetings — and it is the same afloat or in an office. Capture is continuous: threats go into the registers as they surface, tagged to their circle, however small. The drill below runs once a week, takes fifteen to twenty minutes alone with the registers, and produces the only output that matters: next week's attention, allocated on evidence.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50"/>
        <w:gridCol w:w="7476"/>
      </w:tblGrid>
      <w:tr>
        <w:trPr>
          <w:tblHeader/>
        </w:trPr>
        <w:tc>
          <w:tcPr>
            <w:tcW w:type="dxa" w:w="1550"/>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Step</w:t>
            </w:r>
          </w:p>
        </w:tc>
        <w:tc>
          <w:tcPr>
            <w:tcW w:type="dxa" w:w="7476"/>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Drill</w:t>
            </w:r>
          </w:p>
        </w:tc>
      </w:tr>
      <w:tr>
        <w:tc>
          <w:tcPr>
            <w:tcW w:type="dxa" w:w="155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1. Sweep</w:t>
            </w:r>
          </w:p>
        </w:tc>
        <w:tc>
          <w:tcPr>
            <w:tcW w:type="dxa" w:w="747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One pass per register — task, team, individual, self. What changed in the forecast since last week? New threats captured in the week get their first honest assessment now.</w:t>
            </w:r>
          </w:p>
        </w:tc>
      </w:tr>
      <w:tr>
        <w:tc>
          <w:tcPr>
            <w:tcW w:type="dxa" w:w="155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2. Name</w:t>
            </w:r>
          </w:p>
        </w:tc>
        <w:tc>
          <w:tcPr>
            <w:tcW w:type="dxa" w:w="747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Top risk per circle, one sentence each, in the format that works: what will happen, to which commitment, because of what cause, how likely. If a circle has no namable risk, say so and mean it.</w:t>
            </w:r>
          </w:p>
        </w:tc>
      </w:tr>
      <w:tr>
        <w:tc>
          <w:tcPr>
            <w:tcW w:type="dxa" w:w="155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3. Check triggers</w:t>
            </w:r>
          </w:p>
        </w:tc>
        <w:tc>
          <w:tcPr>
            <w:tcW w:type="dxa" w:w="747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Any review date reached? Any threshold crossed? Any event fired? Every trigger that fires re-opens its entry — no entry rides quietly past its own review.</w:t>
            </w:r>
          </w:p>
        </w:tc>
      </w:tr>
      <w:tr>
        <w:tc>
          <w:tcPr>
            <w:tcW w:type="dxa" w:w="155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4. Respond</w:t>
            </w:r>
          </w:p>
        </w:tc>
        <w:tc>
          <w:tcPr>
            <w:tcW w:type="dxa" w:w="747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For anything newly breaching: Accept (recorded, owned, time-bounded), Adapt (an action within current commitments), or Change (renegotiate the commitment — this week, not when it fails). Every response gets its trigger before you close the book.</w:t>
            </w:r>
          </w:p>
        </w:tc>
      </w:tr>
      <w:tr>
        <w:tc>
          <w:tcPr>
            <w:tcW w:type="dxa" w:w="155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5. Allocate</w:t>
            </w:r>
          </w:p>
        </w:tc>
        <w:tc>
          <w:tcPr>
            <w:tcW w:type="dxa" w:w="747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Write the allocation sentence for the week: “My attention goes to [circle] because [forecast evidence].” If all circles are quiet, allocate deliberately to development — the quiet week is the investment week, on the record.</w:t>
            </w:r>
          </w:p>
        </w:tc>
      </w:tr>
    </w:tbl>
    <w:p>
      <w:pPr>
        <w:spacing w:after="100"/>
      </w:pPr>
    </w:p>
    <w:p>
      <w:pPr>
        <w:spacing w:after="150" w:line="276"/>
      </w:pPr>
      <w:r>
        <w:rPr>
          <w:rFonts w:ascii="Calibri" w:cs="Calibri" w:eastAsia="Calibri" w:hAnsi="Calibri"/>
          <w:i/>
          <w:iCs/>
          <w:color w:val="1A1A1A"/>
          <w:sz w:val="22"/>
          <w:szCs w:val="22"/>
        </w:rPr>
        <w:t xml:space="preserve">Two failure modes to police in yourself. Camping: three consecutive weeks allocated to the same circle is firefighting wearing balance's uniform — ask what upstream cause keeps that circle hot, and take the cause conversation to its owner. Silence: a circle with no entries at all is not a healthy circle; it is an unswept one.</w:t>
      </w:r>
    </w:p>
    <w:p>
      <w:r>
        <w:br w:type="page"/>
      </w:r>
    </w:p>
    <w:p>
      <w:pPr>
        <w:pStyle w:val="Heading1"/>
        <w:spacing w:after="170" w:before="320"/>
      </w:pPr>
      <w:r>
        <w:rPr>
          <w:rFonts w:ascii="Arial" w:cs="Arial" w:eastAsia="Arial" w:hAnsi="Arial"/>
          <w:b/>
          <w:bCs/>
          <w:color w:val="2F5233"/>
          <w:sz w:val="31"/>
          <w:szCs w:val="31"/>
        </w:rPr>
        <w:t xml:space="preserve">8.  Communicating as a risk-driven leader</w:t>
      </w:r>
    </w:p>
    <w:p>
      <w:pPr>
        <w:pStyle w:val="Heading2"/>
        <w:spacing w:after="130" w:before="235"/>
      </w:pPr>
      <w:r>
        <w:rPr>
          <w:rFonts w:ascii="Arial" w:cs="Arial" w:eastAsia="Arial" w:hAnsi="Arial"/>
          <w:b/>
          <w:bCs/>
          <w:color w:val="4A7C59"/>
          <w:sz w:val="24"/>
          <w:szCs w:val="24"/>
        </w:rPr>
        <w:t xml:space="preserve">Upward — early, honest, blameless</w:t>
      </w:r>
    </w:p>
    <w:p>
      <w:pPr>
        <w:spacing w:after="150" w:line="276"/>
      </w:pPr>
      <w:r>
        <w:rPr>
          <w:rFonts w:ascii="Calibri" w:cs="Calibri" w:eastAsia="Calibri" w:hAnsi="Calibri"/>
          <w:color w:val="1A1A1A"/>
          <w:sz w:val="22"/>
          <w:szCs w:val="22"/>
        </w:rPr>
        <w:t xml:space="preserve">The moment the forecast says a commitment cannot be met as agreed, the signal goes up — that week, not at the deadline. In uniform the sentence is “mission no longer achievable as tasked; request new orders”; in the workplace it is “the quarter-end date will not hold on present evidence; I need to renegotiate scope or date now.” Both are the system working. A leader who sends that signal early, with the register behind it, is demonstrating control; a leader who conceals a forecast breach has committed the only unforgivable act in this grammar. Make the same true downward: the people who bring you bad forecasts early are your early-warning system — reward the bearer, every time, visibly, or the forecasts will simply stop arriving and you will lead blind.</w:t>
      </w:r>
    </w:p>
    <w:p>
      <w:pPr>
        <w:pStyle w:val="Heading2"/>
        <w:spacing w:after="130" w:before="235"/>
      </w:pPr>
      <w:r>
        <w:rPr>
          <w:rFonts w:ascii="Arial" w:cs="Arial" w:eastAsia="Arial" w:hAnsi="Arial"/>
          <w:b/>
          <w:bCs/>
          <w:color w:val="4A7C59"/>
          <w:sz w:val="24"/>
          <w:szCs w:val="24"/>
        </w:rPr>
        <w:t xml:space="preserve">Sideways — to the owner of the cause</w:t>
      </w:r>
    </w:p>
    <w:p>
      <w:pPr>
        <w:spacing w:after="150" w:line="276"/>
      </w:pPr>
      <w:r>
        <w:rPr>
          <w:rFonts w:ascii="Calibri" w:cs="Calibri" w:eastAsia="Calibri" w:hAnsi="Calibri"/>
          <w:color w:val="1A1A1A"/>
          <w:sz w:val="22"/>
          <w:szCs w:val="22"/>
        </w:rPr>
        <w:t xml:space="preserve">Do not escalate what you can engage. When a threat's cause sits in another workspace — the manning authority, the platform team, the supplier — the conversation goes </w:t>
      </w:r>
      <w:r>
        <w:rPr>
          <w:rFonts w:ascii="Calibri" w:cs="Calibri" w:eastAsia="Calibri" w:hAnsi="Calibri"/>
          <w:b/>
          <w:bCs/>
          <w:color w:val="1A1A1A"/>
          <w:sz w:val="22"/>
          <w:szCs w:val="22"/>
        </w:rPr>
        <w:t xml:space="preserve">to whoever owns the cause</w:t>
      </w:r>
      <w:r>
        <w:rPr>
          <w:rFonts w:ascii="Calibri" w:cs="Calibri" w:eastAsia="Calibri" w:hAnsi="Calibri"/>
          <w:color w:val="1A1A1A"/>
          <w:sz w:val="22"/>
          <w:szCs w:val="22"/>
        </w:rPr>
        <w:t xml:space="preserve">, directly and laterally, while you manage the impact in your own registers. Escalation passes a problem to someone with more authority and less information; engagement takes it to the one person who can remove it at source. Reserve the chain of command for what only the chain can decide.</w:t>
      </w:r>
    </w:p>
    <w:p>
      <w:pPr>
        <w:pStyle w:val="Heading2"/>
        <w:spacing w:after="130" w:before="235"/>
      </w:pPr>
      <w:r>
        <w:rPr>
          <w:rFonts w:ascii="Arial" w:cs="Arial" w:eastAsia="Arial" w:hAnsi="Arial"/>
          <w:b/>
          <w:bCs/>
          <w:color w:val="4A7C59"/>
          <w:sz w:val="24"/>
          <w:szCs w:val="24"/>
        </w:rPr>
        <w:t xml:space="preserve">Downward — commitments and assumptions, not raw fears</w:t>
      </w:r>
    </w:p>
    <w:p>
      <w:pPr>
        <w:spacing w:after="150" w:line="276"/>
      </w:pPr>
      <w:r>
        <w:rPr>
          <w:rFonts w:ascii="Calibri" w:cs="Calibri" w:eastAsia="Calibri" w:hAnsi="Calibri"/>
          <w:color w:val="1A1A1A"/>
          <w:sz w:val="22"/>
          <w:szCs w:val="22"/>
        </w:rPr>
        <w:t xml:space="preserve">Brief your people on commitments (what we have promised, and why), on the assumptions you are operating under (“we assume the relief arrives on the 3rd” — the calm, inverse form of a threat), and on what to watch for. Do not broadcast the raw threat register: half-assessed fears circulate faster than facts and cost more than most threats ever will. The team hears the assumption and the watch-point; the register holds the anxiety so the passageway doesn't have to.</w:t>
      </w:r>
    </w:p>
    <w:p>
      <w:r>
        <w:br w:type="page"/>
      </w:r>
    </w:p>
    <w:p>
      <w:pPr>
        <w:pStyle w:val="Heading1"/>
        <w:spacing w:after="170" w:before="320"/>
      </w:pPr>
      <w:r>
        <w:rPr>
          <w:rFonts w:ascii="Arial" w:cs="Arial" w:eastAsia="Arial" w:hAnsi="Arial"/>
          <w:b/>
          <w:bCs/>
          <w:color w:val="2F5233"/>
          <w:sz w:val="31"/>
          <w:szCs w:val="31"/>
        </w:rPr>
        <w:t xml:space="preserve">9.  Two worlds, one grammar</w:t>
      </w:r>
    </w:p>
    <w:p>
      <w:pPr>
        <w:spacing w:after="150" w:line="276"/>
      </w:pPr>
      <w:r>
        <w:rPr>
          <w:rFonts w:ascii="Calibri" w:cs="Calibri" w:eastAsia="Calibri" w:hAnsi="Calibri"/>
          <w:color w:val="1A1A1A"/>
          <w:sz w:val="22"/>
          <w:szCs w:val="22"/>
        </w:rPr>
        <w:t xml:space="preserve">The grammar is identical in uniform and out of it; only the nouns and the institutions change. The table translates — and the texture notes beneath it carry the two differences that actually matter.</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rPr>
          <w:tblHeader/>
        </w:trPr>
        <w:tc>
          <w:tcPr>
            <w:tcW w:type="dxa" w:w="4513"/>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In uniform</w:t>
            </w:r>
          </w:p>
        </w:tc>
        <w:tc>
          <w:tcPr>
            <w:tcW w:type="dxa" w:w="4513"/>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In the workplace</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Divisional Officer, accountable for knowing their people</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Line manager — the same accountability, usually unappointed and untrained</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tasking and the commander's intent</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commitment and its purpose — what is promised, to whom, and why</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Appreciation / the estimate</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honest written assessment before action</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“Wake me if…” — the CCIR</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trigger: a date, an event, a threshold that re-opens the entry</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Branches and sequels</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Pre-planned responses, authored before the event</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reserve, committed by decision</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Contingency — buffer sized to risk, spent by explicit authority</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Hold — manoeuvre — request new orders</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Accept — Adapt — Change</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“Mission no longer achievable as tasked”</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date will not hold; I am renegotiating now”</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Posting, relief, draft</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Reassignment, resignation, backfill</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Mess deck temperature</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Team-room atmosphere — cohesion, read daily</w:t>
            </w:r>
          </w:p>
        </w:tc>
      </w:tr>
    </w:tbl>
    <w:p>
      <w:pPr>
        <w:spacing w:after="100"/>
      </w:pPr>
    </w:p>
    <w:p>
      <w:pPr>
        <w:spacing w:after="150" w:line="276"/>
      </w:pPr>
      <w:r>
        <w:rPr>
          <w:rFonts w:ascii="Calibri" w:cs="Calibri" w:eastAsia="Calibri" w:hAnsi="Calibri"/>
          <w:b/>
          <w:bCs/>
          <w:color w:val="1A1A1A"/>
          <w:sz w:val="22"/>
          <w:szCs w:val="22"/>
        </w:rPr>
        <w:t xml:space="preserve">Texture one: institutions. </w:t>
      </w:r>
      <w:r>
        <w:rPr>
          <w:rFonts w:ascii="Calibri" w:cs="Calibri" w:eastAsia="Calibri" w:hAnsi="Calibri"/>
          <w:color w:val="1A1A1A"/>
          <w:sz w:val="22"/>
          <w:szCs w:val="22"/>
        </w:rPr>
        <w:t xml:space="preserve">The services arrive with the Divisional System, the estimate, and mission command already installed; the risk-driven leader in uniform is formalising instincts their culture already rewards. The civilian leader must build those institutions personally — which is why the registers and the weekly drill matter more outside the wire, not less. </w:t>
      </w:r>
      <w:r>
        <w:rPr>
          <w:rFonts w:ascii="Calibri" w:cs="Calibri" w:eastAsia="Calibri" w:hAnsi="Calibri"/>
          <w:b/>
          <w:bCs/>
          <w:color w:val="1A1A1A"/>
          <w:sz w:val="22"/>
          <w:szCs w:val="22"/>
        </w:rPr>
        <w:t xml:space="preserve">Texture two: exit. </w:t>
      </w:r>
      <w:r>
        <w:rPr>
          <w:rFonts w:ascii="Calibri" w:cs="Calibri" w:eastAsia="Calibri" w:hAnsi="Calibri"/>
          <w:color w:val="1A1A1A"/>
          <w:sz w:val="22"/>
          <w:szCs w:val="22"/>
        </w:rPr>
        <w:t xml:space="preserve">Civilian teams can leave. Threats to the individual circle therefore carry a second edge — every lapsed promise is also a retention risk — and the individual register earns its keep twice over.</w:t>
      </w:r>
    </w:p>
    <w:p>
      <w:pPr>
        <w:pStyle w:val="Heading2"/>
        <w:spacing w:after="130" w:before="235"/>
      </w:pPr>
      <w:r>
        <w:rPr>
          <w:rFonts w:ascii="Arial" w:cs="Arial" w:eastAsia="Arial" w:hAnsi="Arial"/>
          <w:b/>
          <w:bCs/>
          <w:color w:val="4A7C59"/>
          <w:sz w:val="24"/>
          <w:szCs w:val="24"/>
        </w:rPr>
        <w:t xml:space="preserve">Ten rules for the risk-driven leader</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rPr>
          <w:tblHeader/>
        </w:trPr>
        <w:tc>
          <w:tcPr>
            <w:tcW w:type="dxa" w:w="4513"/>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
            </w:r>
          </w:p>
        </w:tc>
        <w:tc>
          <w:tcPr>
            <w:tcW w:type="dxa" w:w="4513"/>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1. Know the commitment in each circle — stated, not assumed</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6. Record what anyone brings you, however small; close it with a reason if it dies</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2. Attention follows the forecast — and you can say why in one sentence</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7. Brief assumptions and watch-points downward, never raw fears</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3. Every risk names its cause, its victim, and a percentage you own</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8. Send the honest signal up early; reward the bearer of bad forecasts, visibly</w:t>
            </w:r>
          </w:p>
        </w:tc>
      </w:tr>
      <w:tr>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4. Every response is Accept, Adapt or Change — and carries a trigger</w:t>
            </w:r>
          </w:p>
        </w:tc>
        <w:tc>
          <w:tcPr>
            <w:tcW w:type="dxa" w:w="4513"/>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9. Engage the owner of the cause; escalate only what the chain alone can decide</w:t>
            </w:r>
          </w:p>
        </w:tc>
      </w:tr>
      <w:tr>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5. Status is the forecast, never the comfort of a plan in motion</w:t>
            </w:r>
          </w:p>
        </w:tc>
        <w:tc>
          <w:tcPr>
            <w:tcW w:type="dxa" w:w="4513"/>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10. You are a resource all three circles depend on — govern yourself like one</w:t>
            </w:r>
          </w:p>
        </w:tc>
      </w:tr>
    </w:tbl>
    <w:p>
      <w:pPr>
        <w:spacing w:after="160"/>
      </w:pPr>
    </w:p>
    <w:p>
      <w:pPr>
        <w:spacing w:after="0" w:line="276"/>
      </w:pPr>
      <w:r>
        <w:rPr>
          <w:rFonts w:ascii="Calibri" w:cs="Calibri" w:eastAsia="Calibri" w:hAnsi="Calibri"/>
          <w:i/>
          <w:iCs/>
          <w:color w:val="595959"/>
          <w:sz w:val="17"/>
          <w:szCs w:val="17"/>
        </w:rPr>
        <w:t xml:space="preserve">The Risk-Driven Leader is pilot-grade doctrine for the exploratory Risk-Driven Leadership concept (see the RDL Concept Paper). It draws on the RDM Framework Master Document v3.00 (© Philip Linnell, canonical and prevailing) and, with attribution, on John Adair's published Action Centred Leadership model; it amends neither. © Philip Linnell 2026.</w:t>
      </w:r>
    </w:p>
    <w:sectPr>
      <w:headerReference w:type="default" r:id="rId7"/>
      <w:footerReference w:type="default" r:id="rId8"/>
      <w:pgSz w:w="11906" w:h="16838" w:orient="portrait"/>
      <w:pgMar w:top="1050" w:right="1240" w:bottom="105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5"/>
        <w:szCs w:val="15"/>
      </w:rPr>
      <w:t xml:space="preserve">© Philip Linnell 2026 · pilot-grade doctrine · Page </w:t>
    </w:r>
    <w:r>
      <w:rPr>
        <w:rFonts w:ascii="Arial" w:cs="Arial" w:eastAsia="Arial" w:hAnsi="Arial"/>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5"/>
        <w:szCs w:val="15"/>
      </w:rPr>
      <w:t xml:space="preserve">The Risk-Driven Leader — practical guide (pilot-grade)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Risk-Driven Leader — A Practical Guide</dc:title>
  <dc:creator>Risk-Driven Management</dc:creator>
  <cp:lastModifiedBy>Un-named</cp:lastModifiedBy>
  <cp:revision>1</cp:revision>
  <dcterms:created xsi:type="dcterms:W3CDTF">2026-07-05T11:46:42.012Z</dcterms:created>
  <dcterms:modified xsi:type="dcterms:W3CDTF">2026-07-05T11:46:42.023Z</dcterms:modified>
</cp:coreProperties>
</file>

<file path=docProps/custom.xml><?xml version="1.0" encoding="utf-8"?>
<Properties xmlns="http://schemas.openxmlformats.org/officeDocument/2006/custom-properties" xmlns:vt="http://schemas.openxmlformats.org/officeDocument/2006/docPropsVTypes"/>
</file>