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Enterprise Data</w:t>
        <w:br/>
        <w:t>Intelligence Platform</w:t>
      </w:r>
    </w:p>
    <w:p>
      <w:pPr>
        <w:pStyle w:val="Subtitle"/>
        <w:keepNext/>
      </w:pPr>
      <w:r>
        <w:t>Consolidated Technical Documentation</w:t>
      </w:r>
    </w:p>
    <w:p>
      <w:pPr>
        <w:pStyle w:val="SourceNote"/>
      </w:pPr>
      <w:r>
        <w:t>Platform foundations • Data ingestion • Quality profiling • Analytics and reporting • Data lineage • Data governance and access policy</w:t>
      </w:r>
    </w:p>
    <w:p>
      <w:pPr>
        <w:pStyle w:val="SourceNote"/>
      </w:pPr>
      <w:r>
        <w:t>This document consolidates the platform technical documentation through the data-governance and access-policy release. Shared architecture, security, database, testing and deployment information is stated once; unique ingestion, quality, analytics, lineage and governance behavior is retained. Verification statements identify the implementation evidence available for each release and do not replace target-environment validation.</w:t>
      </w:r>
    </w:p>
    <w:p>
      <w:pPr>
        <w:pStyle w:val="Heading1"/>
        <w:keepNext/>
      </w:pPr>
      <w:r>
        <w:t>Platform overview and architecture</w:t>
      </w:r>
    </w:p>
    <w:p>
      <w:pPr/>
      <w:r>
        <w:t>Enterprise Data Intelligence Platform (EDIP) is a .NET 8 Web API for centralized management of workspaces, users, datasets, metadata, ingestion, data quality, analytics, data lineage, dataset governance, certification and controlled dataset access. It uses layered ASP.NET Core services, Entity Framework Core and SQL Server, with ASP.NET Core Identity, JWT authentication, permission-based RBAC, workspace isolation and audit logging. Swagger/OpenAPI, Postman and xUnit support API discovery and validation. Excel processing uses the existing DocumentFormat.OpenXml dependency version 3.1.1 for analytics and reporting.</w:t>
      </w:r>
    </w:p>
    <w:p>
      <w:pPr/>
      <w:r>
        <w:t>The request path is client → controller → service layer → Entity Framework Core → SQL Server → response. Controllers remain thin; services enforce orchestration and business rules, and query projections shape read responses.</w:t>
      </w:r>
    </w:p>
    <w:tbl>
      <w:tblPr>
        <w:tblW w:type="dxa" w:w="9360"/>
        <w:jc w:val="left"/>
        <w:tblLayout w:type="fixed"/>
        <w:tblLook w:firstColumn="1" w:firstRow="1" w:lastColumn="0" w:lastRow="0" w:noHBand="0" w:noVBand="1" w:val="04A0"/>
        <w:tblInd w:type="dxa" w:w="120"/>
        <w:tblBorders>
          <w:top w:val="single" w:sz="4" w:color="CDD7E2"/>
          <w:left w:val="single" w:sz="4" w:color="CDD7E2"/>
          <w:bottom w:val="single" w:sz="4" w:color="CDD7E2"/>
          <w:right w:val="single" w:sz="4" w:color="CDD7E2"/>
          <w:insideH w:val="single" w:sz="4" w:color="CDD7E2"/>
          <w:insideV w:val="single" w:sz="4" w:color="CDD7E2"/>
        </w:tblBorders>
      </w:tblPr>
      <w:tblGrid>
        <w:gridCol w:w="3600"/>
        <w:gridCol w:w="5760"/>
      </w:tblGrid>
      <w:tr>
        <w:trPr>
          <w:cantSplit/>
          <w:tblHeader/>
        </w:trPr>
        <w:tc>
          <w:tcPr>
            <w:tcW w:type="dxa" w:w="3600"/>
            <w:vAlign w:val="center"/>
            <w:shd w:fill="E8EEF5"/>
            <w:tcMar>
              <w:top w:w="80" w:type="dxa"/>
              <w:bottom w:w="80" w:type="dxa"/>
              <w:start w:w="120" w:type="dxa"/>
              <w:end w:w="120" w:type="dxa"/>
            </w:tcMar>
          </w:tcPr>
          <w:p>
            <w:pPr>
              <w:pStyle w:val="TechnicalTable"/>
            </w:pPr>
            <w:r>
              <w:rPr>
                <w:b/>
              </w:rPr>
              <w:t>Project area</w:t>
            </w:r>
          </w:p>
        </w:tc>
        <w:tc>
          <w:tcPr>
            <w:tcW w:type="dxa" w:w="5760"/>
            <w:vAlign w:val="center"/>
            <w:shd w:fill="E8EEF5"/>
            <w:tcMar>
              <w:top w:w="80" w:type="dxa"/>
              <w:bottom w:w="80" w:type="dxa"/>
              <w:start w:w="120" w:type="dxa"/>
              <w:end w:w="120" w:type="dxa"/>
            </w:tcMar>
          </w:tcPr>
          <w:p>
            <w:pPr>
              <w:pStyle w:val="TechnicalTable"/>
            </w:pPr>
            <w:r>
              <w:rPr>
                <w:b/>
              </w:rPr>
              <w:t>Responsibility</w:t>
            </w:r>
          </w:p>
        </w:tc>
      </w:tr>
      <w:tr>
        <w:trPr>
          <w:cantSplit/>
        </w:trPr>
        <w:tc>
          <w:tcPr>
            <w:tcW w:type="dxa" w:w="3600"/>
            <w:vAlign w:val="center"/>
            <w:tcMar>
              <w:top w:w="80" w:type="dxa"/>
              <w:bottom w:w="80" w:type="dxa"/>
              <w:start w:w="120" w:type="dxa"/>
              <w:end w:w="120" w:type="dxa"/>
            </w:tcMar>
          </w:tcPr>
          <w:p>
            <w:pPr>
              <w:pStyle w:val="TechnicalTable"/>
            </w:pPr>
            <w:r>
              <w:t>Authorization; Infrastructure</w:t>
            </w:r>
          </w:p>
        </w:tc>
        <w:tc>
          <w:tcPr>
            <w:tcW w:type="dxa" w:w="5760"/>
            <w:vAlign w:val="center"/>
            <w:tcMar>
              <w:top w:w="80" w:type="dxa"/>
              <w:bottom w:w="80" w:type="dxa"/>
              <w:start w:w="120" w:type="dxa"/>
              <w:end w:w="120" w:type="dxa"/>
            </w:tcMar>
          </w:tcPr>
          <w:p>
            <w:pPr>
              <w:pStyle w:val="TechnicalTable"/>
            </w:pPr>
            <w:r>
              <w:t>Permission policies, current-user context and token/security integration.</w:t>
            </w:r>
          </w:p>
        </w:tc>
      </w:tr>
      <w:tr>
        <w:trPr>
          <w:cantSplit/>
        </w:trPr>
        <w:tc>
          <w:tcPr>
            <w:tcW w:type="dxa" w:w="3600"/>
            <w:vAlign w:val="center"/>
            <w:tcMar>
              <w:top w:w="80" w:type="dxa"/>
              <w:bottom w:w="80" w:type="dxa"/>
              <w:start w:w="120" w:type="dxa"/>
              <w:end w:w="120" w:type="dxa"/>
            </w:tcMar>
          </w:tcPr>
          <w:p>
            <w:pPr>
              <w:pStyle w:val="TechnicalTable"/>
            </w:pPr>
            <w:r>
              <w:t>Contracts; Controllers</w:t>
            </w:r>
          </w:p>
        </w:tc>
        <w:tc>
          <w:tcPr>
            <w:tcW w:type="dxa" w:w="5760"/>
            <w:vAlign w:val="center"/>
            <w:tcMar>
              <w:top w:w="80" w:type="dxa"/>
              <w:bottom w:w="80" w:type="dxa"/>
              <w:start w:w="120" w:type="dxa"/>
              <w:end w:w="120" w:type="dxa"/>
            </w:tcMar>
          </w:tcPr>
          <w:p>
            <w:pPr>
              <w:pStyle w:val="TechnicalTable"/>
            </w:pPr>
            <w:r>
              <w:t>Request/response contracts and HTTP endpoints.</w:t>
            </w:r>
          </w:p>
        </w:tc>
      </w:tr>
      <w:tr>
        <w:trPr>
          <w:cantSplit/>
        </w:trPr>
        <w:tc>
          <w:tcPr>
            <w:tcW w:type="dxa" w:w="3600"/>
            <w:vAlign w:val="center"/>
            <w:tcMar>
              <w:top w:w="80" w:type="dxa"/>
              <w:bottom w:w="80" w:type="dxa"/>
              <w:start w:w="120" w:type="dxa"/>
              <w:end w:w="120" w:type="dxa"/>
            </w:tcMar>
          </w:tcPr>
          <w:p>
            <w:pPr>
              <w:pStyle w:val="TechnicalTable"/>
            </w:pPr>
            <w:r>
              <w:t>Data; Domain; Migrations</w:t>
            </w:r>
          </w:p>
        </w:tc>
        <w:tc>
          <w:tcPr>
            <w:tcW w:type="dxa" w:w="5760"/>
            <w:vAlign w:val="center"/>
            <w:tcMar>
              <w:top w:w="80" w:type="dxa"/>
              <w:bottom w:w="80" w:type="dxa"/>
              <w:start w:w="120" w:type="dxa"/>
              <w:end w:w="120" w:type="dxa"/>
            </w:tcMar>
          </w:tcPr>
          <w:p>
            <w:pPr>
              <w:pStyle w:val="TechnicalTable"/>
            </w:pPr>
            <w:r>
              <w:t>Entities, DbContext, query filters, seed data and schema evolution.</w:t>
            </w:r>
          </w:p>
        </w:tc>
      </w:tr>
      <w:tr>
        <w:trPr>
          <w:cantSplit/>
        </w:trPr>
        <w:tc>
          <w:tcPr>
            <w:tcW w:type="dxa" w:w="3600"/>
            <w:vAlign w:val="center"/>
            <w:tcMar>
              <w:top w:w="80" w:type="dxa"/>
              <w:bottom w:w="80" w:type="dxa"/>
              <w:start w:w="120" w:type="dxa"/>
              <w:end w:w="120" w:type="dxa"/>
            </w:tcMar>
          </w:tcPr>
          <w:p>
            <w:pPr>
              <w:pStyle w:val="TechnicalTable"/>
            </w:pPr>
            <w:r>
              <w:t>Services/Interfaces; Services/Implementations</w:t>
            </w:r>
          </w:p>
        </w:tc>
        <w:tc>
          <w:tcPr>
            <w:tcW w:type="dxa" w:w="5760"/>
            <w:vAlign w:val="center"/>
            <w:tcMar>
              <w:top w:w="80" w:type="dxa"/>
              <w:bottom w:w="80" w:type="dxa"/>
              <w:start w:w="120" w:type="dxa"/>
              <w:end w:w="120" w:type="dxa"/>
            </w:tcMar>
          </w:tcPr>
          <w:p>
            <w:pPr>
              <w:pStyle w:val="TechnicalTable"/>
            </w:pPr>
            <w:r>
              <w:t>Business-service abstractions and implementations; analytics services extend this layer.</w:t>
            </w:r>
          </w:p>
        </w:tc>
      </w:tr>
      <w:tr>
        <w:trPr>
          <w:cantSplit/>
        </w:trPr>
        <w:tc>
          <w:tcPr>
            <w:tcW w:type="dxa" w:w="3600"/>
            <w:vAlign w:val="center"/>
            <w:tcMar>
              <w:top w:w="80" w:type="dxa"/>
              <w:bottom w:w="80" w:type="dxa"/>
              <w:start w:w="120" w:type="dxa"/>
              <w:end w:w="120" w:type="dxa"/>
            </w:tcMar>
          </w:tcPr>
          <w:p>
            <w:pPr>
              <w:pStyle w:val="TechnicalTable"/>
            </w:pPr>
            <w:r>
              <w:t>Extensions; Middleware</w:t>
            </w:r>
          </w:p>
        </w:tc>
        <w:tc>
          <w:tcPr>
            <w:tcW w:type="dxa" w:w="5760"/>
            <w:vAlign w:val="center"/>
            <w:tcMar>
              <w:top w:w="80" w:type="dxa"/>
              <w:bottom w:w="80" w:type="dxa"/>
              <w:start w:w="120" w:type="dxa"/>
              <w:end w:w="120" w:type="dxa"/>
            </w:tcMar>
          </w:tcPr>
          <w:p>
            <w:pPr>
              <w:pStyle w:val="TechnicalTable"/>
            </w:pPr>
            <w:r>
              <w:t>Dependency registration and request/error handling.</w:t>
            </w:r>
          </w:p>
        </w:tc>
      </w:tr>
      <w:tr>
        <w:trPr>
          <w:cantSplit/>
        </w:trPr>
        <w:tc>
          <w:tcPr>
            <w:tcW w:type="dxa" w:w="3600"/>
            <w:vAlign w:val="center"/>
            <w:tcMar>
              <w:top w:w="80" w:type="dxa"/>
              <w:bottom w:w="80" w:type="dxa"/>
              <w:start w:w="120" w:type="dxa"/>
              <w:end w:w="120" w:type="dxa"/>
            </w:tcMar>
          </w:tcPr>
          <w:p>
            <w:pPr>
              <w:pStyle w:val="TechnicalTable"/>
            </w:pPr>
            <w:r>
              <w:t>Docs; Postman; EnterpriseDataIntelligencePlatform.Tests</w:t>
            </w:r>
          </w:p>
        </w:tc>
        <w:tc>
          <w:tcPr>
            <w:tcW w:type="dxa" w:w="5760"/>
            <w:vAlign w:val="center"/>
            <w:tcMar>
              <w:top w:w="80" w:type="dxa"/>
              <w:bottom w:w="80" w:type="dxa"/>
              <w:start w:w="120" w:type="dxa"/>
              <w:end w:w="120" w:type="dxa"/>
            </w:tcMar>
          </w:tcPr>
          <w:p>
            <w:pPr>
              <w:pStyle w:val="TechnicalTable"/>
            </w:pPr>
            <w:r>
              <w:t>Technical guidance, API collections and automated tests.</w:t>
            </w:r>
          </w:p>
        </w:tc>
      </w:tr>
    </w:tbl>
    <w:p>
      <w:pPr>
        <w:pStyle w:val="SourceNote"/>
        <w:spacing w:before="0" w:after="60" w:line="60" w:lineRule="exact"/>
      </w:pPr>
    </w:p>
    <w:p>
      <w:pPr>
        <w:pStyle w:val="Heading2"/>
        <w:keepNext/>
      </w:pPr>
      <w:r>
        <w:t>Shared background processing</w:t>
      </w:r>
    </w:p>
    <w:p>
      <w:pPr/>
      <w:r>
        <w:t>Imports and quality profiles use the shared, process-local BackgroundJobQueue and BackgroundJobService used by the quality profiling module. The earlier ingestion guide names ImportJobQueue and ImportBackgroundService; these represent the earlier module architecture, not a second queue to introduce. Background workers resolve scoped processing services so requests can return before import/profile calculations finish.</w:t>
      </w:r>
    </w:p>
    <w:p>
      <w:pPr>
        <w:pStyle w:val="Heading1"/>
        <w:keepNext/>
      </w:pPr>
      <w:r>
        <w:t>Core platform capabilities</w:t>
      </w:r>
    </w:p>
    <w:p>
      <w:pPr>
        <w:pStyle w:val="Heading2"/>
        <w:keepNext/>
      </w:pPr>
      <w:r>
        <w:t>Authentication, workspaces and users</w:t>
      </w:r>
    </w:p>
    <w:p>
      <w:pPr>
        <w:pStyle w:val="ListBullet"/>
        <w:numPr>
          <w:ilvl w:val="0"/>
          <w:numId w:val="10"/>
        </w:numPr>
      </w:pPr>
      <w:r>
        <w:t>Authentication: JWT access tokens, refresh-token rotation, secure login/logout, password change/reset, token and session revocation, and security-stamp validation.</w:t>
      </w:r>
    </w:p>
    <w:p>
      <w:pPr>
        <w:pStyle w:val="ListBullet"/>
        <w:numPr>
          <w:ilvl w:val="0"/>
          <w:numId w:val="10"/>
        </w:numPr>
      </w:pPr>
      <w:r>
        <w:t>Workspaces: create, view, update, activate and deactivate workspaces. Each organization operates within an isolated workspace; only authorized users manage its information.</w:t>
      </w:r>
    </w:p>
    <w:p>
      <w:pPr>
        <w:pStyle w:val="ListBullet"/>
        <w:numPr>
          <w:ilvl w:val="0"/>
          <w:numId w:val="10"/>
        </w:numPr>
      </w:pPr>
      <w:r>
        <w:t>Users and roles: register, update, activate/deactivate, assign roles and permissions, and search/filter/page users. The canonical role/access rules are consolidated in Access control and audit logging below.</w:t>
      </w:r>
    </w:p>
    <w:p>
      <w:pPr>
        <w:pStyle w:val="Heading2"/>
        <w:keepNext/>
      </w:pPr>
      <w:r>
        <w:t>Dataset lifecycle, catalog and versioning</w:t>
      </w:r>
    </w:p>
    <w:p>
      <w:pPr>
        <w:pStyle w:val="ListBullet"/>
        <w:numPr>
          <w:ilvl w:val="0"/>
          <w:numId w:val="10"/>
        </w:numPr>
      </w:pPr>
      <w:r>
        <w:t>Register datasets; retrieve details; update metadata; archive/restore; soft-delete/recover. Each dataset belongs to exactly one workspace.</w:t>
      </w:r>
    </w:p>
    <w:p>
      <w:pPr>
        <w:pStyle w:val="ListBullet"/>
        <w:numPr>
          <w:ilvl w:val="0"/>
          <w:numId w:val="10"/>
        </w:numPr>
      </w:pPr>
      <w:r>
        <w:t>Catalog metadata: name, description, category, tags, owner, source name/type, created/updated dates, current version and lifecycle status. Dataset categories support create, update and view operations.</w:t>
      </w:r>
    </w:p>
    <w:p>
      <w:pPr>
        <w:pStyle w:val="ListBullet"/>
        <w:numPr>
          <w:ilvl w:val="0"/>
          <w:numId w:val="10"/>
        </w:numPr>
      </w:pPr>
      <w:r>
        <w:t>Catalog discovery: keyword search plus category, tag, owner and status filters, sorting and pagination.</w:t>
      </w:r>
    </w:p>
    <w:p>
      <w:pPr>
        <w:pStyle w:val="ListBullet"/>
        <w:numPr>
          <w:ilvl w:val="0"/>
          <w:numId w:val="10"/>
        </w:numPr>
      </w:pPr>
      <w:r>
        <w:t>Every metadata modification creates a new version with version notes, history, current-version identification and an audit trail. Restoring a previous version creates another version instead of overwriting history.</w:t>
      </w:r>
    </w:p>
    <w:p>
      <w:pPr>
        <w:pStyle w:val="Heading1"/>
        <w:keepNext/>
      </w:pPr>
      <w:r>
        <w:t>Data import and ingestion</w:t>
      </w:r>
    </w:p>
    <w:p>
      <w:pPr/>
      <w:r>
        <w:t>The ingestion module extends the existing dataset catalog with secured CSV/XLSX uploads, separate configuration/start operations, Full and Append processing, schema inference, duplicate handling, staging, typed values, row-level errors, cancellation and transactional final writes. It reuses the shared security and background-processing architecture.</w:t>
      </w:r>
    </w:p>
    <w:p>
      <w:pPr>
        <w:pStyle w:val="Heading2"/>
        <w:keepNext/>
      </w:pPr>
      <w:r>
        <w:t>Processing flow</w:t>
      </w:r>
    </w:p>
    <w:p>
      <w:pPr>
        <w:pStyle w:val="ListNumber"/>
        <w:numPr>
          <w:ilvl w:val="0"/>
          <w:numId w:val="11"/>
        </w:numPr>
      </w:pPr>
      <w:r>
        <w:t>Upload the file through IFileStorageService and store only file metadata/path in UploadedDataFiles.</w:t>
      </w:r>
    </w:p>
    <w:p>
      <w:pPr>
        <w:pStyle w:val="ListNumber"/>
        <w:numPr>
          <w:ilvl w:val="0"/>
          <w:numId w:val="11"/>
        </w:numPr>
      </w:pPr>
      <w:r>
        <w:t>Create a DataImport configuration with mode, duplicate behavior, delimiter, worksheet and optional keys.</w:t>
      </w:r>
    </w:p>
    <w:p>
      <w:pPr>
        <w:pStyle w:val="ListNumber"/>
        <w:numPr>
          <w:ilvl w:val="0"/>
          <w:numId w:val="11"/>
        </w:numPr>
      </w:pPr>
      <w:r>
        <w:t>Start the import; a serializable transaction verifies that the dataset has no other Queued or Processing import.</w:t>
      </w:r>
    </w:p>
    <w:p>
      <w:pPr>
        <w:pStyle w:val="ListNumber"/>
        <w:numPr>
          <w:ilvl w:val="0"/>
          <w:numId w:val="11"/>
        </w:numPr>
      </w:pPr>
      <w:r>
        <w:t>Enqueue the import job in the shared BackgroundJobQueue. BackgroundJobService resolves a scoped import processor; earlier ingestion documentation described a Channel&lt;Guid&gt;-based import-only queue.</w:t>
      </w:r>
    </w:p>
    <w:p>
      <w:pPr>
        <w:pStyle w:val="ListNumber"/>
        <w:numPr>
          <w:ilvl w:val="0"/>
          <w:numId w:val="11"/>
        </w:numPr>
      </w:pPr>
      <w:r>
        <w:t>Read the selected CSV/XLSX content, validate headers/schema and infer types for a first-time schema.</w:t>
      </w:r>
    </w:p>
    <w:p>
      <w:pPr>
        <w:pStyle w:val="ListNumber"/>
        <w:numPr>
          <w:ilvl w:val="0"/>
          <w:numId w:val="11"/>
        </w:numPr>
      </w:pPr>
      <w:r>
        <w:t>Write raw staging rows/values, key hashes and detailed validation/duplicate errors.</w:t>
      </w:r>
    </w:p>
    <w:p>
      <w:pPr>
        <w:pStyle w:val="ListNumber"/>
        <w:numPr>
          <w:ilvl w:val="0"/>
          <w:numId w:val="11"/>
        </w:numPr>
      </w:pPr>
      <w:r>
        <w:t>Within a database transaction, replace records for Full mode or insert/update records for Append mode.</w:t>
      </w:r>
    </w:p>
    <w:p>
      <w:pPr>
        <w:pStyle w:val="ListNumber"/>
        <w:numPr>
          <w:ilvl w:val="0"/>
          <w:numId w:val="11"/>
        </w:numPr>
      </w:pPr>
      <w:r>
        <w:t>Publish terminal status and counts, persist audit entries and expose details/history/errors to authorized users.</w:t>
      </w:r>
    </w:p>
    <w:p>
      <w:pPr>
        <w:pStyle w:val="Heading2"/>
        <w:keepNext/>
      </w:pPr>
      <w:r>
        <w:t>Component responsibilities</w:t>
      </w:r>
    </w:p>
    <w:tbl>
      <w:tblPr>
        <w:tblW w:type="dxa" w:w="9360"/>
        <w:jc w:val="left"/>
        <w:tblLayout w:type="fixed"/>
        <w:tblLook w:firstColumn="1" w:firstRow="1" w:lastColumn="0" w:lastRow="0" w:noHBand="0" w:noVBand="1" w:val="04A0"/>
        <w:tblInd w:type="dxa" w:w="120"/>
        <w:tblBorders>
          <w:top w:val="single" w:sz="4" w:color="CDD7E2"/>
          <w:left w:val="single" w:sz="4" w:color="CDD7E2"/>
          <w:bottom w:val="single" w:sz="4" w:color="CDD7E2"/>
          <w:right w:val="single" w:sz="4" w:color="CDD7E2"/>
          <w:insideH w:val="single" w:sz="4" w:color="CDD7E2"/>
          <w:insideV w:val="single" w:sz="4" w:color="CDD7E2"/>
        </w:tblBorders>
      </w:tblPr>
      <w:tblGrid>
        <w:gridCol w:w="1500"/>
        <w:gridCol w:w="2800"/>
        <w:gridCol w:w="5060"/>
      </w:tblGrid>
      <w:tr>
        <w:trPr>
          <w:cantSplit/>
          <w:tblHeader/>
        </w:trPr>
        <w:tc>
          <w:tcPr>
            <w:tcW w:type="dxa" w:w="1500"/>
            <w:vAlign w:val="center"/>
            <w:shd w:fill="E8EEF5"/>
            <w:tcMar>
              <w:top w:w="80" w:type="dxa"/>
              <w:bottom w:w="80" w:type="dxa"/>
              <w:start w:w="120" w:type="dxa"/>
              <w:end w:w="120" w:type="dxa"/>
            </w:tcMar>
          </w:tcPr>
          <w:p>
            <w:pPr>
              <w:pStyle w:val="TechnicalTable"/>
            </w:pPr>
            <w:r>
              <w:rPr>
                <w:b/>
              </w:rPr>
              <w:t>Layer</w:t>
            </w:r>
          </w:p>
        </w:tc>
        <w:tc>
          <w:tcPr>
            <w:tcW w:type="dxa" w:w="2800"/>
            <w:vAlign w:val="center"/>
            <w:shd w:fill="E8EEF5"/>
            <w:tcMar>
              <w:top w:w="80" w:type="dxa"/>
              <w:bottom w:w="80" w:type="dxa"/>
              <w:start w:w="120" w:type="dxa"/>
              <w:end w:w="120" w:type="dxa"/>
            </w:tcMar>
          </w:tcPr>
          <w:p>
            <w:pPr>
              <w:pStyle w:val="TechnicalTable"/>
            </w:pPr>
            <w:r>
              <w:rPr>
                <w:b/>
              </w:rPr>
              <w:t>Component</w:t>
            </w:r>
          </w:p>
        </w:tc>
        <w:tc>
          <w:tcPr>
            <w:tcW w:type="dxa" w:w="5060"/>
            <w:vAlign w:val="center"/>
            <w:shd w:fill="E8EEF5"/>
            <w:tcMar>
              <w:top w:w="80" w:type="dxa"/>
              <w:bottom w:w="80" w:type="dxa"/>
              <w:start w:w="120" w:type="dxa"/>
              <w:end w:w="120" w:type="dxa"/>
            </w:tcMar>
          </w:tcPr>
          <w:p>
            <w:pPr>
              <w:pStyle w:val="TechnicalTable"/>
            </w:pPr>
            <w:r>
              <w:rPr>
                <w:b/>
              </w:rPr>
              <w:t>Responsibility</w:t>
            </w:r>
          </w:p>
        </w:tc>
      </w:tr>
      <w:tr>
        <w:trPr>
          <w:cantSplit/>
        </w:trPr>
        <w:tc>
          <w:tcPr>
            <w:tcW w:type="dxa" w:w="1500"/>
            <w:vAlign w:val="center"/>
            <w:tcMar>
              <w:top w:w="80" w:type="dxa"/>
              <w:bottom w:w="80" w:type="dxa"/>
              <w:start w:w="120" w:type="dxa"/>
              <w:end w:w="120" w:type="dxa"/>
            </w:tcMar>
          </w:tcPr>
          <w:p>
            <w:pPr>
              <w:pStyle w:val="TechnicalTable"/>
            </w:pPr>
            <w:r>
              <w:t>API</w:t>
            </w:r>
          </w:p>
        </w:tc>
        <w:tc>
          <w:tcPr>
            <w:tcW w:type="dxa" w:w="2800"/>
            <w:vAlign w:val="center"/>
            <w:tcMar>
              <w:top w:w="80" w:type="dxa"/>
              <w:bottom w:w="80" w:type="dxa"/>
              <w:start w:w="120" w:type="dxa"/>
              <w:end w:w="120" w:type="dxa"/>
            </w:tcMar>
          </w:tcPr>
          <w:p>
            <w:pPr>
              <w:pStyle w:val="TechnicalTable"/>
            </w:pPr>
            <w:r>
              <w:t>ImportsController</w:t>
            </w:r>
          </w:p>
        </w:tc>
        <w:tc>
          <w:tcPr>
            <w:tcW w:type="dxa" w:w="5060"/>
            <w:vAlign w:val="center"/>
            <w:tcMar>
              <w:top w:w="80" w:type="dxa"/>
              <w:bottom w:w="80" w:type="dxa"/>
              <w:start w:w="120" w:type="dxa"/>
              <w:end w:w="120" w:type="dxa"/>
            </w:tcMar>
          </w:tcPr>
          <w:p>
            <w:pPr>
              <w:pStyle w:val="TechnicalTable"/>
            </w:pPr>
            <w:r>
              <w:t>Nine secured endpoints for upload, creation, start, status, history, errors, cancel and schema management.</w:t>
            </w:r>
          </w:p>
        </w:tc>
      </w:tr>
      <w:tr>
        <w:trPr>
          <w:cantSplit/>
        </w:trPr>
        <w:tc>
          <w:tcPr>
            <w:tcW w:type="dxa" w:w="1500"/>
            <w:vAlign w:val="center"/>
            <w:tcMar>
              <w:top w:w="80" w:type="dxa"/>
              <w:bottom w:w="80" w:type="dxa"/>
              <w:start w:w="120" w:type="dxa"/>
              <w:end w:w="120" w:type="dxa"/>
            </w:tcMar>
          </w:tcPr>
          <w:p>
            <w:pPr>
              <w:pStyle w:val="TechnicalTable"/>
            </w:pPr>
            <w:r>
              <w:t>Orchestration</w:t>
            </w:r>
          </w:p>
        </w:tc>
        <w:tc>
          <w:tcPr>
            <w:tcW w:type="dxa" w:w="2800"/>
            <w:vAlign w:val="center"/>
            <w:tcMar>
              <w:top w:w="80" w:type="dxa"/>
              <w:bottom w:w="80" w:type="dxa"/>
              <w:start w:w="120" w:type="dxa"/>
              <w:end w:w="120" w:type="dxa"/>
            </w:tcMar>
          </w:tcPr>
          <w:p>
            <w:pPr>
              <w:pStyle w:val="TechnicalTable"/>
            </w:pPr>
            <w:r>
              <w:t>ImportService</w:t>
            </w:r>
          </w:p>
        </w:tc>
        <w:tc>
          <w:tcPr>
            <w:tcW w:type="dxa" w:w="5060"/>
            <w:vAlign w:val="center"/>
            <w:tcMar>
              <w:top w:w="80" w:type="dxa"/>
              <w:bottom w:w="80" w:type="dxa"/>
              <w:start w:w="120" w:type="dxa"/>
              <w:end w:w="120" w:type="dxa"/>
            </w:tcMar>
          </w:tcPr>
          <w:p>
            <w:pPr>
              <w:pStyle w:val="TechnicalTable"/>
            </w:pPr>
            <w:r>
              <w:t>Validates requests, creates configurations, enforces active-import rules, queues jobs and projects responses.</w:t>
            </w:r>
          </w:p>
        </w:tc>
      </w:tr>
      <w:tr>
        <w:trPr>
          <w:cantSplit/>
        </w:trPr>
        <w:tc>
          <w:tcPr>
            <w:tcW w:type="dxa" w:w="1500"/>
            <w:vAlign w:val="center"/>
            <w:tcMar>
              <w:top w:w="80" w:type="dxa"/>
              <w:bottom w:w="80" w:type="dxa"/>
              <w:start w:w="120" w:type="dxa"/>
              <w:end w:w="120" w:type="dxa"/>
            </w:tcMar>
          </w:tcPr>
          <w:p>
            <w:pPr>
              <w:pStyle w:val="TechnicalTable"/>
            </w:pPr>
            <w:r>
              <w:t>Storage</w:t>
            </w:r>
          </w:p>
        </w:tc>
        <w:tc>
          <w:tcPr>
            <w:tcW w:type="dxa" w:w="2800"/>
            <w:vAlign w:val="center"/>
            <w:tcMar>
              <w:top w:w="80" w:type="dxa"/>
              <w:bottom w:w="80" w:type="dxa"/>
              <w:start w:w="120" w:type="dxa"/>
              <w:end w:w="120" w:type="dxa"/>
            </w:tcMar>
          </w:tcPr>
          <w:p>
            <w:pPr>
              <w:pStyle w:val="TechnicalTable"/>
            </w:pPr>
            <w:r>
              <w:t>LocalFileStorageService</w:t>
            </w:r>
          </w:p>
        </w:tc>
        <w:tc>
          <w:tcPr>
            <w:tcW w:type="dxa" w:w="5060"/>
            <w:vAlign w:val="center"/>
            <w:tcMar>
              <w:top w:w="80" w:type="dxa"/>
              <w:bottom w:w="80" w:type="dxa"/>
              <w:start w:w="120" w:type="dxa"/>
              <w:end w:w="120" w:type="dxa"/>
            </w:tcMar>
          </w:tcPr>
          <w:p>
            <w:pPr>
              <w:pStyle w:val="TechnicalTable"/>
            </w:pPr>
            <w:r>
              <w:t>Stores files under workspace/dataset folders behind IFileStorageService for future provider replacement.</w:t>
            </w:r>
          </w:p>
        </w:tc>
      </w:tr>
      <w:tr>
        <w:trPr>
          <w:cantSplit/>
        </w:trPr>
        <w:tc>
          <w:tcPr>
            <w:tcW w:type="dxa" w:w="1500"/>
            <w:vAlign w:val="center"/>
            <w:tcMar>
              <w:top w:w="80" w:type="dxa"/>
              <w:bottom w:w="80" w:type="dxa"/>
              <w:start w:w="120" w:type="dxa"/>
              <w:end w:w="120" w:type="dxa"/>
            </w:tcMar>
          </w:tcPr>
          <w:p>
            <w:pPr>
              <w:pStyle w:val="TechnicalTable"/>
            </w:pPr>
            <w:r>
              <w:t>Parsing</w:t>
            </w:r>
          </w:p>
        </w:tc>
        <w:tc>
          <w:tcPr>
            <w:tcW w:type="dxa" w:w="2800"/>
            <w:vAlign w:val="center"/>
            <w:tcMar>
              <w:top w:w="80" w:type="dxa"/>
              <w:bottom w:w="80" w:type="dxa"/>
              <w:start w:w="120" w:type="dxa"/>
              <w:end w:w="120" w:type="dxa"/>
            </w:tcMar>
          </w:tcPr>
          <w:p>
            <w:pPr>
              <w:pStyle w:val="TechnicalTable"/>
            </w:pPr>
            <w:r>
              <w:t>ImportFileReader</w:t>
            </w:r>
          </w:p>
        </w:tc>
        <w:tc>
          <w:tcPr>
            <w:tcW w:type="dxa" w:w="5060"/>
            <w:vAlign w:val="center"/>
            <w:tcMar>
              <w:top w:w="80" w:type="dxa"/>
              <w:bottom w:w="80" w:type="dxa"/>
              <w:start w:w="120" w:type="dxa"/>
              <w:end w:w="120" w:type="dxa"/>
            </w:tcMar>
          </w:tcPr>
          <w:p>
            <w:pPr>
              <w:pStyle w:val="TechnicalTable"/>
            </w:pPr>
            <w:r>
              <w:t>Reads delimited CSV and Open XML workbooks; discovers and selects worksheets.</w:t>
            </w:r>
          </w:p>
        </w:tc>
      </w:tr>
      <w:tr>
        <w:trPr>
          <w:cantSplit/>
        </w:trPr>
        <w:tc>
          <w:tcPr>
            <w:tcW w:type="dxa" w:w="1500"/>
            <w:vAlign w:val="center"/>
            <w:tcMar>
              <w:top w:w="80" w:type="dxa"/>
              <w:bottom w:w="80" w:type="dxa"/>
              <w:start w:w="120" w:type="dxa"/>
              <w:end w:w="120" w:type="dxa"/>
            </w:tcMar>
          </w:tcPr>
          <w:p>
            <w:pPr>
              <w:pStyle w:val="TechnicalTable"/>
            </w:pPr>
            <w:r>
              <w:t>Processing</w:t>
            </w:r>
          </w:p>
        </w:tc>
        <w:tc>
          <w:tcPr>
            <w:tcW w:type="dxa" w:w="2800"/>
            <w:vAlign w:val="center"/>
            <w:tcMar>
              <w:top w:w="80" w:type="dxa"/>
              <w:bottom w:w="80" w:type="dxa"/>
              <w:start w:w="120" w:type="dxa"/>
              <w:end w:w="120" w:type="dxa"/>
            </w:tcMar>
          </w:tcPr>
          <w:p>
            <w:pPr>
              <w:pStyle w:val="TechnicalTable"/>
            </w:pPr>
            <w:r>
              <w:t>ImportProcessor</w:t>
            </w:r>
          </w:p>
        </w:tc>
        <w:tc>
          <w:tcPr>
            <w:tcW w:type="dxa" w:w="5060"/>
            <w:vAlign w:val="center"/>
            <w:tcMar>
              <w:top w:w="80" w:type="dxa"/>
              <w:bottom w:w="80" w:type="dxa"/>
              <w:start w:w="120" w:type="dxa"/>
              <w:end w:w="120" w:type="dxa"/>
            </w:tcMar>
          </w:tcPr>
          <w:p>
            <w:pPr>
              <w:pStyle w:val="TechnicalTable"/>
            </w:pPr>
            <w:r>
              <w:t>Validates schema, stages rows, detects duplicates, commits records and sets terminal status.</w:t>
            </w:r>
          </w:p>
        </w:tc>
      </w:tr>
      <w:tr>
        <w:trPr>
          <w:cantSplit/>
        </w:trPr>
        <w:tc>
          <w:tcPr>
            <w:tcW w:type="dxa" w:w="1500"/>
            <w:vAlign w:val="center"/>
            <w:tcMar>
              <w:top w:w="80" w:type="dxa"/>
              <w:bottom w:w="80" w:type="dxa"/>
              <w:start w:w="120" w:type="dxa"/>
              <w:end w:w="120" w:type="dxa"/>
            </w:tcMar>
          </w:tcPr>
          <w:p>
            <w:pPr>
              <w:pStyle w:val="TechnicalTable"/>
            </w:pPr>
            <w:r>
              <w:t>Cancellation</w:t>
            </w:r>
          </w:p>
        </w:tc>
        <w:tc>
          <w:tcPr>
            <w:tcW w:type="dxa" w:w="2800"/>
            <w:vAlign w:val="center"/>
            <w:tcMar>
              <w:top w:w="80" w:type="dxa"/>
              <w:bottom w:w="80" w:type="dxa"/>
              <w:start w:w="120" w:type="dxa"/>
              <w:end w:w="120" w:type="dxa"/>
            </w:tcMar>
          </w:tcPr>
          <w:p>
            <w:pPr>
              <w:pStyle w:val="TechnicalTable"/>
            </w:pPr>
            <w:r>
              <w:t>ImportCancellationRegistry</w:t>
            </w:r>
          </w:p>
        </w:tc>
        <w:tc>
          <w:tcPr>
            <w:tcW w:type="dxa" w:w="5060"/>
            <w:vAlign w:val="center"/>
            <w:tcMar>
              <w:top w:w="80" w:type="dxa"/>
              <w:bottom w:w="80" w:type="dxa"/>
              <w:start w:w="120" w:type="dxa"/>
              <w:end w:w="120" w:type="dxa"/>
            </w:tcMar>
          </w:tcPr>
          <w:p>
            <w:pPr>
              <w:pStyle w:val="TechnicalTable"/>
            </w:pPr>
            <w:r>
              <w:t>Coordinates linked cancellation tokens for actively processing imports.</w:t>
            </w:r>
          </w:p>
        </w:tc>
      </w:tr>
    </w:tbl>
    <w:p>
      <w:pPr>
        <w:pStyle w:val="SourceNote"/>
        <w:spacing w:before="0" w:after="60" w:line="60" w:lineRule="exact"/>
      </w:pPr>
    </w:p>
    <w:p>
      <w:pPr>
        <w:pStyle w:val="Heading2"/>
        <w:keepNext/>
      </w:pPr>
      <w:r>
        <w:t>Functional Design</w:t>
      </w:r>
    </w:p>
    <w:p>
      <w:pPr>
        <w:pStyle w:val="Heading3"/>
        <w:keepNext/>
      </w:pPr>
      <w:r>
        <w:t>File Handling and Validation</w:t>
      </w:r>
    </w:p>
    <w:p>
      <w:pPr>
        <w:pStyle w:val="ListBullet"/>
        <w:numPr>
          <w:ilvl w:val="0"/>
          <w:numId w:val="10"/>
        </w:numPr>
      </w:pPr>
      <w:r>
        <w:t>Supported formats: .csv and .xlsx only.</w:t>
      </w:r>
    </w:p>
    <w:p>
      <w:pPr>
        <w:pStyle w:val="ListBullet"/>
        <w:numPr>
          <w:ilvl w:val="0"/>
          <w:numId w:val="10"/>
        </w:numPr>
      </w:pPr>
      <w:r>
        <w:t>Maximum request/file size: 25 MB; zero-byte files are rejected.</w:t>
      </w:r>
    </w:p>
    <w:p>
      <w:pPr>
        <w:pStyle w:val="ListBullet"/>
        <w:numPr>
          <w:ilvl w:val="0"/>
          <w:numId w:val="10"/>
        </w:numPr>
      </w:pPr>
      <w:r>
        <w:t>XLSX upload returns worksheet names, and creation requires a valid WorksheetName.</w:t>
      </w:r>
    </w:p>
    <w:p>
      <w:pPr>
        <w:pStyle w:val="ListBullet"/>
        <w:numPr>
          <w:ilvl w:val="0"/>
          <w:numId w:val="10"/>
        </w:numPr>
      </w:pPr>
      <w:r>
        <w:t>CSV delimiter must contain exactly one character; quoted CSV fields are supported.</w:t>
      </w:r>
    </w:p>
    <w:p>
      <w:pPr>
        <w:pStyle w:val="ListBullet"/>
        <w:numPr>
          <w:ilvl w:val="0"/>
          <w:numId w:val="10"/>
        </w:numPr>
      </w:pPr>
      <w:r>
        <w:t>Empty files, blank headers and case-insensitive duplicate headers cause a critical failure.</w:t>
      </w:r>
    </w:p>
    <w:p>
      <w:pPr>
        <w:pStyle w:val="ListBullet"/>
        <w:numPr>
          <w:ilvl w:val="0"/>
          <w:numId w:val="10"/>
        </w:numPr>
      </w:pPr>
      <w:r>
        <w:t>Archived datasets reject uploads, and files must belong to the target dataset.</w:t>
      </w:r>
    </w:p>
    <w:p>
      <w:pPr>
        <w:pStyle w:val="Heading3"/>
        <w:keepNext/>
      </w:pPr>
      <w:r>
        <w:t>Import Configuration</w:t>
      </w:r>
    </w:p>
    <w:p>
      <w:pPr/>
      <w:r>
        <w:t>CreateImportRequest records FileId, ImportMode, DuplicateBehavior, CsvDelimiter, FirstRowContainsHeaders, WorksheetName and optional KeyColumns. The first successful import must use Full mode so that DatasetColumns can be established.</w:t>
      </w:r>
    </w:p>
    <w:p>
      <w:pPr>
        <w:pStyle w:val="TechnicalCode"/>
        <w:keepNext/>
        <w:spacing w:before="60" w:after="0"/>
        <w:shd w:fill="F4F6F9"/>
      </w:pPr>
      <w:r>
        <w:rPr>
          <w:rFonts w:ascii="DejaVu Sans Mono" w:hAnsi="DejaVu Sans Mono" w:eastAsia="DejaVu Sans Mono" w:cs="DejaVu Sans Mono"/>
        </w:rPr>
        <w:t>{</w:t>
      </w:r>
    </w:p>
    <w:p>
      <w:pPr>
        <w:pStyle w:val="TechnicalCode"/>
        <w:keepNext/>
        <w:spacing w:before="0" w:after="0"/>
        <w:shd w:fill="F4F6F9"/>
      </w:pPr>
      <w:r>
        <w:rPr>
          <w:rFonts w:ascii="DejaVu Sans Mono" w:hAnsi="DejaVu Sans Mono" w:eastAsia="DejaVu Sans Mono" w:cs="DejaVu Sans Mono"/>
        </w:rPr>
        <w:t xml:space="preserve">  "fileId": "11111111-2222-3333-4444-555555555555",</w:t>
      </w:r>
    </w:p>
    <w:p>
      <w:pPr>
        <w:pStyle w:val="TechnicalCode"/>
        <w:keepNext/>
        <w:spacing w:before="0" w:after="0"/>
        <w:shd w:fill="F4F6F9"/>
      </w:pPr>
      <w:r>
        <w:rPr>
          <w:rFonts w:ascii="DejaVu Sans Mono" w:hAnsi="DejaVu Sans Mono" w:eastAsia="DejaVu Sans Mono" w:cs="DejaVu Sans Mono"/>
        </w:rPr>
        <w:t xml:space="preserve">  "importMode": "Full",</w:t>
      </w:r>
    </w:p>
    <w:p>
      <w:pPr>
        <w:pStyle w:val="TechnicalCode"/>
        <w:keepNext/>
        <w:spacing w:before="0" w:after="0"/>
        <w:shd w:fill="F4F6F9"/>
      </w:pPr>
      <w:r>
        <w:rPr>
          <w:rFonts w:ascii="DejaVu Sans Mono" w:hAnsi="DejaVu Sans Mono" w:eastAsia="DejaVu Sans Mono" w:cs="DejaVu Sans Mono"/>
        </w:rPr>
        <w:t xml:space="preserve">  "duplicateBehavior": "Update",</w:t>
      </w:r>
    </w:p>
    <w:p>
      <w:pPr>
        <w:pStyle w:val="TechnicalCode"/>
        <w:keepNext/>
        <w:spacing w:before="0" w:after="0"/>
        <w:shd w:fill="F4F6F9"/>
      </w:pPr>
      <w:r>
        <w:rPr>
          <w:rFonts w:ascii="DejaVu Sans Mono" w:hAnsi="DejaVu Sans Mono" w:eastAsia="DejaVu Sans Mono" w:cs="DejaVu Sans Mono"/>
        </w:rPr>
        <w:t xml:space="preserve">  "csvDelimiter": ",",</w:t>
      </w:r>
    </w:p>
    <w:p>
      <w:pPr>
        <w:pStyle w:val="TechnicalCode"/>
        <w:keepNext/>
        <w:spacing w:before="0" w:after="0"/>
        <w:shd w:fill="F4F6F9"/>
      </w:pPr>
      <w:r>
        <w:rPr>
          <w:rFonts w:ascii="DejaVu Sans Mono" w:hAnsi="DejaVu Sans Mono" w:eastAsia="DejaVu Sans Mono" w:cs="DejaVu Sans Mono"/>
        </w:rPr>
        <w:t xml:space="preserve">  "firstRowContainsHeaders": true,</w:t>
      </w:r>
    </w:p>
    <w:p>
      <w:pPr>
        <w:pStyle w:val="TechnicalCode"/>
        <w:keepNext/>
        <w:spacing w:before="0" w:after="0"/>
        <w:shd w:fill="F4F6F9"/>
      </w:pPr>
      <w:r>
        <w:rPr>
          <w:rFonts w:ascii="DejaVu Sans Mono" w:hAnsi="DejaVu Sans Mono" w:eastAsia="DejaVu Sans Mono" w:cs="DejaVu Sans Mono"/>
        </w:rPr>
        <w:t xml:space="preserve">  "worksheetName": "Customers",</w:t>
      </w:r>
    </w:p>
    <w:p>
      <w:pPr>
        <w:pStyle w:val="TechnicalCode"/>
        <w:keepNext/>
        <w:spacing w:before="0" w:after="0"/>
        <w:shd w:fill="F4F6F9"/>
      </w:pPr>
      <w:r>
        <w:rPr>
          <w:rFonts w:ascii="DejaVu Sans Mono" w:hAnsi="DejaVu Sans Mono" w:eastAsia="DejaVu Sans Mono" w:cs="DejaVu Sans Mono"/>
        </w:rPr>
        <w:t xml:space="preserve">  "keyColumns": ["CustomerId"]</w:t>
      </w:r>
    </w:p>
    <w:p>
      <w:pPr>
        <w:pStyle w:val="TechnicalCode"/>
        <w:keepNext w:val="0"/>
        <w:spacing w:before="0" w:after="140"/>
        <w:shd w:fill="F4F6F9"/>
      </w:pPr>
      <w:r>
        <w:rPr>
          <w:rFonts w:ascii="DejaVu Sans Mono" w:hAnsi="DejaVu Sans Mono" w:eastAsia="DejaVu Sans Mono" w:cs="DejaVu Sans Mono"/>
        </w:rPr>
        <w:t>}</w:t>
      </w:r>
    </w:p>
    <w:p>
      <w:pPr>
        <w:pStyle w:val="Heading3"/>
        <w:keepNext/>
      </w:pPr>
      <w:r>
        <w:t>Schema Strategy and Type Inference</w:t>
      </w:r>
    </w:p>
    <w:p>
      <w:pPr>
        <w:pStyle w:val="ListBullet"/>
        <w:numPr>
          <w:ilvl w:val="0"/>
          <w:numId w:val="10"/>
        </w:numPr>
      </w:pPr>
      <w:r>
        <w:t>The first successful Full import establishes required DatasetColumns in source order.</w:t>
      </w:r>
    </w:p>
    <w:p>
      <w:pPr>
        <w:pStyle w:val="ListBullet"/>
        <w:numPr>
          <w:ilvl w:val="0"/>
          <w:numId w:val="10"/>
        </w:numPr>
      </w:pPr>
      <w:r>
        <w:t>Non-empty values are inferred as Integer, Decimal, Boolean, DateTime or String using invariant-culture parsing.</w:t>
      </w:r>
    </w:p>
    <w:p>
      <w:pPr>
        <w:pStyle w:val="ListBullet"/>
        <w:numPr>
          <w:ilvl w:val="0"/>
          <w:numId w:val="10"/>
        </w:numPr>
      </w:pPr>
      <w:r>
        <w:t>Later imports must provide the same case-insensitive column set; missing or additional headers fail the import.</w:t>
      </w:r>
    </w:p>
    <w:p>
      <w:pPr>
        <w:pStyle w:val="ListBullet"/>
        <w:numPr>
          <w:ilvl w:val="0"/>
          <w:numId w:val="10"/>
        </w:numPr>
      </w:pPr>
      <w:r>
        <w:t>Configured key names must exist. Later import key settings must match the dataset’s stored key columns.</w:t>
      </w:r>
    </w:p>
    <w:p>
      <w:pPr>
        <w:pStyle w:val="ListBullet"/>
        <w:numPr>
          <w:ilvl w:val="0"/>
          <w:numId w:val="10"/>
        </w:numPr>
      </w:pPr>
      <w:r>
        <w:t>If no key is configured, a SHA-256 fingerprint of the complete trimmed row is used for exact-row duplicate detection.</w:t>
      </w:r>
    </w:p>
    <w:p>
      <w:pPr>
        <w:pStyle w:val="Heading3"/>
        <w:keepNext/>
      </w:pPr>
      <w:r>
        <w:t>Import Modes, Duplicates and Invalid Rows</w:t>
      </w:r>
    </w:p>
    <w:p>
      <w:pPr/>
      <w:r>
        <w:t>Full mode replaces the dataset’s existing record/value rows only inside the final transaction. Append mode preserves existing records and inserts or updates matching keys according to the configured duplicate behavior. Invalid rows are skipped and recorded; structural errors fail the import.</w:t>
      </w:r>
    </w:p>
    <w:tbl>
      <w:tblPr>
        <w:tblW w:type="dxa" w:w="9360"/>
        <w:jc w:val="left"/>
        <w:tblLayout w:type="fixed"/>
        <w:tblLook w:firstColumn="1" w:firstRow="1" w:lastColumn="0" w:lastRow="0" w:noHBand="0" w:noVBand="1" w:val="04A0"/>
        <w:tblInd w:type="dxa" w:w="120"/>
        <w:tblBorders>
          <w:top w:val="single" w:sz="4" w:color="CDD7E2"/>
          <w:left w:val="single" w:sz="4" w:color="CDD7E2"/>
          <w:bottom w:val="single" w:sz="4" w:color="CDD7E2"/>
          <w:right w:val="single" w:sz="4" w:color="CDD7E2"/>
          <w:insideH w:val="single" w:sz="4" w:color="CDD7E2"/>
          <w:insideV w:val="single" w:sz="4" w:color="CDD7E2"/>
        </w:tblBorders>
      </w:tblPr>
      <w:tblGrid>
        <w:gridCol w:w="3600"/>
        <w:gridCol w:w="5760"/>
      </w:tblGrid>
      <w:tr>
        <w:trPr>
          <w:cantSplit/>
          <w:tblHeader/>
        </w:trPr>
        <w:tc>
          <w:tcPr>
            <w:tcW w:type="dxa" w:w="3600"/>
            <w:vAlign w:val="center"/>
            <w:shd w:fill="E8EEF5"/>
            <w:tcMar>
              <w:top w:w="80" w:type="dxa"/>
              <w:bottom w:w="80" w:type="dxa"/>
              <w:start w:w="120" w:type="dxa"/>
              <w:end w:w="120" w:type="dxa"/>
            </w:tcMar>
          </w:tcPr>
          <w:p>
            <w:pPr>
              <w:pStyle w:val="TechnicalTable"/>
            </w:pPr>
            <w:r>
              <w:rPr>
                <w:b/>
              </w:rPr>
              <w:t>Rule</w:t>
            </w:r>
          </w:p>
        </w:tc>
        <w:tc>
          <w:tcPr>
            <w:tcW w:type="dxa" w:w="5760"/>
            <w:vAlign w:val="center"/>
            <w:shd w:fill="E8EEF5"/>
            <w:tcMar>
              <w:top w:w="80" w:type="dxa"/>
              <w:bottom w:w="80" w:type="dxa"/>
              <w:start w:w="120" w:type="dxa"/>
              <w:end w:w="120" w:type="dxa"/>
            </w:tcMar>
          </w:tcPr>
          <w:p>
            <w:pPr>
              <w:pStyle w:val="TechnicalTable"/>
            </w:pPr>
            <w:r>
              <w:rPr>
                <w:b/>
              </w:rPr>
              <w:t>Processing result</w:t>
            </w:r>
          </w:p>
        </w:tc>
      </w:tr>
      <w:tr>
        <w:trPr>
          <w:cantSplit/>
        </w:trPr>
        <w:tc>
          <w:tcPr>
            <w:tcW w:type="dxa" w:w="3600"/>
            <w:vAlign w:val="center"/>
            <w:tcMar>
              <w:top w:w="80" w:type="dxa"/>
              <w:bottom w:w="80" w:type="dxa"/>
              <w:start w:w="120" w:type="dxa"/>
              <w:end w:w="120" w:type="dxa"/>
            </w:tcMar>
          </w:tcPr>
          <w:p>
            <w:pPr>
              <w:pStyle w:val="TechnicalTable"/>
            </w:pPr>
            <w:r>
              <w:t>Skip</w:t>
            </w:r>
          </w:p>
        </w:tc>
        <w:tc>
          <w:tcPr>
            <w:tcW w:type="dxa" w:w="5760"/>
            <w:vAlign w:val="center"/>
            <w:tcMar>
              <w:top w:w="80" w:type="dxa"/>
              <w:bottom w:w="80" w:type="dxa"/>
              <w:start w:w="120" w:type="dxa"/>
              <w:end w:w="120" w:type="dxa"/>
            </w:tcMar>
          </w:tcPr>
          <w:p>
            <w:pPr>
              <w:pStyle w:val="TechnicalTable"/>
            </w:pPr>
            <w:r>
              <w:t>Do not import the duplicate; persist an ImportError describing the duplicate.</w:t>
            </w:r>
          </w:p>
        </w:tc>
      </w:tr>
      <w:tr>
        <w:trPr>
          <w:cantSplit/>
        </w:trPr>
        <w:tc>
          <w:tcPr>
            <w:tcW w:type="dxa" w:w="3600"/>
            <w:vAlign w:val="center"/>
            <w:tcMar>
              <w:top w:w="80" w:type="dxa"/>
              <w:bottom w:w="80" w:type="dxa"/>
              <w:start w:w="120" w:type="dxa"/>
              <w:end w:w="120" w:type="dxa"/>
            </w:tcMar>
          </w:tcPr>
          <w:p>
            <w:pPr>
              <w:pStyle w:val="TechnicalTable"/>
            </w:pPr>
            <w:r>
              <w:t>Reject</w:t>
            </w:r>
          </w:p>
        </w:tc>
        <w:tc>
          <w:tcPr>
            <w:tcW w:type="dxa" w:w="5760"/>
            <w:vAlign w:val="center"/>
            <w:tcMar>
              <w:top w:w="80" w:type="dxa"/>
              <w:bottom w:w="80" w:type="dxa"/>
              <w:start w:w="120" w:type="dxa"/>
              <w:end w:w="120" w:type="dxa"/>
            </w:tcMar>
          </w:tcPr>
          <w:p>
            <w:pPr>
              <w:pStyle w:val="TechnicalTable"/>
            </w:pPr>
            <w:r>
              <w:t>Reject the duplicate and persist an ImportError; no final record mutation for that row.</w:t>
            </w:r>
          </w:p>
        </w:tc>
      </w:tr>
      <w:tr>
        <w:trPr>
          <w:cantSplit/>
        </w:trPr>
        <w:tc>
          <w:tcPr>
            <w:tcW w:type="dxa" w:w="3600"/>
            <w:vAlign w:val="center"/>
            <w:tcMar>
              <w:top w:w="80" w:type="dxa"/>
              <w:bottom w:w="80" w:type="dxa"/>
              <w:start w:w="120" w:type="dxa"/>
              <w:end w:w="120" w:type="dxa"/>
            </w:tcMar>
          </w:tcPr>
          <w:p>
            <w:pPr>
              <w:pStyle w:val="TechnicalTable"/>
            </w:pPr>
            <w:r>
              <w:t>Update</w:t>
            </w:r>
          </w:p>
        </w:tc>
        <w:tc>
          <w:tcPr>
            <w:tcW w:type="dxa" w:w="5760"/>
            <w:vAlign w:val="center"/>
            <w:tcMar>
              <w:top w:w="80" w:type="dxa"/>
              <w:bottom w:w="80" w:type="dxa"/>
              <w:start w:w="120" w:type="dxa"/>
              <w:end w:w="120" w:type="dxa"/>
            </w:tcMar>
          </w:tcPr>
          <w:p>
            <w:pPr>
              <w:pStyle w:val="TechnicalTable"/>
            </w:pPr>
            <w:r>
              <w:t>Latest matching incoming row wins; Append mode updates an existing dataset record with the same key hash.</w:t>
            </w:r>
          </w:p>
        </w:tc>
      </w:tr>
      <w:tr>
        <w:trPr>
          <w:cantSplit/>
        </w:trPr>
        <w:tc>
          <w:tcPr>
            <w:tcW w:type="dxa" w:w="3600"/>
            <w:vAlign w:val="center"/>
            <w:tcMar>
              <w:top w:w="80" w:type="dxa"/>
              <w:bottom w:w="80" w:type="dxa"/>
              <w:start w:w="120" w:type="dxa"/>
              <w:end w:w="120" w:type="dxa"/>
            </w:tcMar>
          </w:tcPr>
          <w:p>
            <w:pPr>
              <w:pStyle w:val="TechnicalTable"/>
            </w:pPr>
            <w:r>
              <w:t>No key columns</w:t>
            </w:r>
          </w:p>
        </w:tc>
        <w:tc>
          <w:tcPr>
            <w:tcW w:type="dxa" w:w="5760"/>
            <w:vAlign w:val="center"/>
            <w:tcMar>
              <w:top w:w="80" w:type="dxa"/>
              <w:bottom w:w="80" w:type="dxa"/>
              <w:start w:w="120" w:type="dxa"/>
              <w:end w:w="120" w:type="dxa"/>
            </w:tcMar>
          </w:tcPr>
          <w:p>
            <w:pPr>
              <w:pStyle w:val="TechnicalTable"/>
            </w:pPr>
            <w:r>
              <w:t>Build the key hash from every column, limiting duplicate detection to exact row duplicates.</w:t>
            </w:r>
          </w:p>
        </w:tc>
      </w:tr>
    </w:tbl>
    <w:p>
      <w:pPr>
        <w:pStyle w:val="SourceNote"/>
        <w:spacing w:before="0" w:after="60" w:line="60" w:lineRule="exact"/>
      </w:pPr>
    </w:p>
    <w:p>
      <w:pPr>
        <w:pStyle w:val="Heading3"/>
        <w:keepNext/>
      </w:pPr>
      <w:r>
        <w:t>Import Status Lifecycle</w:t>
      </w:r>
    </w:p>
    <w:tbl>
      <w:tblPr>
        <w:tblW w:type="dxa" w:w="9360"/>
        <w:jc w:val="left"/>
        <w:tblLayout w:type="fixed"/>
        <w:tblLook w:firstColumn="1" w:firstRow="1" w:lastColumn="0" w:lastRow="0" w:noHBand="0" w:noVBand="1" w:val="04A0"/>
        <w:tblInd w:type="dxa" w:w="120"/>
        <w:tblBorders>
          <w:top w:val="single" w:sz="4" w:color="CDD7E2"/>
          <w:left w:val="single" w:sz="4" w:color="CDD7E2"/>
          <w:bottom w:val="single" w:sz="4" w:color="CDD7E2"/>
          <w:right w:val="single" w:sz="4" w:color="CDD7E2"/>
          <w:insideH w:val="single" w:sz="4" w:color="CDD7E2"/>
          <w:insideV w:val="single" w:sz="4" w:color="CDD7E2"/>
        </w:tblBorders>
      </w:tblPr>
      <w:tblGrid>
        <w:gridCol w:w="2200"/>
        <w:gridCol w:w="3400"/>
        <w:gridCol w:w="3760"/>
      </w:tblGrid>
      <w:tr>
        <w:trPr>
          <w:cantSplit/>
          <w:tblHeader/>
        </w:trPr>
        <w:tc>
          <w:tcPr>
            <w:tcW w:type="dxa" w:w="2200"/>
            <w:vAlign w:val="center"/>
            <w:shd w:fill="E8EEF5"/>
            <w:tcMar>
              <w:top w:w="80" w:type="dxa"/>
              <w:bottom w:w="80" w:type="dxa"/>
              <w:start w:w="120" w:type="dxa"/>
              <w:end w:w="120" w:type="dxa"/>
            </w:tcMar>
          </w:tcPr>
          <w:p>
            <w:pPr>
              <w:pStyle w:val="TechnicalTable"/>
            </w:pPr>
            <w:r>
              <w:rPr>
                <w:b/>
              </w:rPr>
              <w:t>Status</w:t>
            </w:r>
          </w:p>
        </w:tc>
        <w:tc>
          <w:tcPr>
            <w:tcW w:type="dxa" w:w="3400"/>
            <w:vAlign w:val="center"/>
            <w:shd w:fill="E8EEF5"/>
            <w:tcMar>
              <w:top w:w="80" w:type="dxa"/>
              <w:bottom w:w="80" w:type="dxa"/>
              <w:start w:w="120" w:type="dxa"/>
              <w:end w:w="120" w:type="dxa"/>
            </w:tcMar>
          </w:tcPr>
          <w:p>
            <w:pPr>
              <w:pStyle w:val="TechnicalTable"/>
            </w:pPr>
            <w:r>
              <w:rPr>
                <w:b/>
              </w:rPr>
              <w:t>Meaning</w:t>
            </w:r>
          </w:p>
        </w:tc>
        <w:tc>
          <w:tcPr>
            <w:tcW w:type="dxa" w:w="3760"/>
            <w:vAlign w:val="center"/>
            <w:shd w:fill="E8EEF5"/>
            <w:tcMar>
              <w:top w:w="80" w:type="dxa"/>
              <w:bottom w:w="80" w:type="dxa"/>
              <w:start w:w="120" w:type="dxa"/>
              <w:end w:w="120" w:type="dxa"/>
            </w:tcMar>
          </w:tcPr>
          <w:p>
            <w:pPr>
              <w:pStyle w:val="TechnicalTable"/>
            </w:pPr>
            <w:r>
              <w:rPr>
                <w:b/>
              </w:rPr>
              <w:t>Operational action</w:t>
            </w:r>
          </w:p>
        </w:tc>
      </w:tr>
      <w:tr>
        <w:trPr>
          <w:cantSplit/>
        </w:trPr>
        <w:tc>
          <w:tcPr>
            <w:tcW w:type="dxa" w:w="2200"/>
            <w:vAlign w:val="center"/>
            <w:tcMar>
              <w:top w:w="80" w:type="dxa"/>
              <w:bottom w:w="80" w:type="dxa"/>
              <w:start w:w="120" w:type="dxa"/>
              <w:end w:w="120" w:type="dxa"/>
            </w:tcMar>
          </w:tcPr>
          <w:p>
            <w:pPr>
              <w:pStyle w:val="TechnicalTable"/>
            </w:pPr>
            <w:r>
              <w:t>Created</w:t>
            </w:r>
          </w:p>
        </w:tc>
        <w:tc>
          <w:tcPr>
            <w:tcW w:type="dxa" w:w="3400"/>
            <w:vAlign w:val="center"/>
            <w:tcMar>
              <w:top w:w="80" w:type="dxa"/>
              <w:bottom w:w="80" w:type="dxa"/>
              <w:start w:w="120" w:type="dxa"/>
              <w:end w:w="120" w:type="dxa"/>
            </w:tcMar>
          </w:tcPr>
          <w:p>
            <w:pPr>
              <w:pStyle w:val="TechnicalTable"/>
            </w:pPr>
            <w:r>
              <w:t>Configuration saved but not started.</w:t>
            </w:r>
          </w:p>
        </w:tc>
        <w:tc>
          <w:tcPr>
            <w:tcW w:type="dxa" w:w="3760"/>
            <w:vAlign w:val="center"/>
            <w:tcMar>
              <w:top w:w="80" w:type="dxa"/>
              <w:bottom w:w="80" w:type="dxa"/>
              <w:start w:w="120" w:type="dxa"/>
              <w:end w:w="120" w:type="dxa"/>
            </w:tcMar>
          </w:tcPr>
          <w:p>
            <w:pPr>
              <w:pStyle w:val="TechnicalTable"/>
            </w:pPr>
            <w:r>
              <w:t>Start or discard externally.</w:t>
            </w:r>
          </w:p>
        </w:tc>
      </w:tr>
      <w:tr>
        <w:trPr>
          <w:cantSplit/>
        </w:trPr>
        <w:tc>
          <w:tcPr>
            <w:tcW w:type="dxa" w:w="2200"/>
            <w:vAlign w:val="center"/>
            <w:tcMar>
              <w:top w:w="80" w:type="dxa"/>
              <w:bottom w:w="80" w:type="dxa"/>
              <w:start w:w="120" w:type="dxa"/>
              <w:end w:w="120" w:type="dxa"/>
            </w:tcMar>
          </w:tcPr>
          <w:p>
            <w:pPr>
              <w:pStyle w:val="TechnicalTable"/>
            </w:pPr>
            <w:r>
              <w:t>Queued</w:t>
            </w:r>
          </w:p>
        </w:tc>
        <w:tc>
          <w:tcPr>
            <w:tcW w:type="dxa" w:w="3400"/>
            <w:vAlign w:val="center"/>
            <w:tcMar>
              <w:top w:w="80" w:type="dxa"/>
              <w:bottom w:w="80" w:type="dxa"/>
              <w:start w:w="120" w:type="dxa"/>
              <w:end w:w="120" w:type="dxa"/>
            </w:tcMar>
          </w:tcPr>
          <w:p>
            <w:pPr>
              <w:pStyle w:val="TechnicalTable"/>
            </w:pPr>
            <w:r>
              <w:t>Accepted and written to the in-memory queue.</w:t>
            </w:r>
          </w:p>
        </w:tc>
        <w:tc>
          <w:tcPr>
            <w:tcW w:type="dxa" w:w="3760"/>
            <w:vAlign w:val="center"/>
            <w:tcMar>
              <w:top w:w="80" w:type="dxa"/>
              <w:bottom w:w="80" w:type="dxa"/>
              <w:start w:w="120" w:type="dxa"/>
              <w:end w:w="120" w:type="dxa"/>
            </w:tcMar>
          </w:tcPr>
          <w:p>
            <w:pPr>
              <w:pStyle w:val="TechnicalTable"/>
            </w:pPr>
            <w:r>
              <w:t>Worker begins processing; queued cancellation is immediate.</w:t>
            </w:r>
          </w:p>
        </w:tc>
      </w:tr>
      <w:tr>
        <w:trPr>
          <w:cantSplit/>
        </w:trPr>
        <w:tc>
          <w:tcPr>
            <w:tcW w:type="dxa" w:w="2200"/>
            <w:vAlign w:val="center"/>
            <w:tcMar>
              <w:top w:w="80" w:type="dxa"/>
              <w:bottom w:w="80" w:type="dxa"/>
              <w:start w:w="120" w:type="dxa"/>
              <w:end w:w="120" w:type="dxa"/>
            </w:tcMar>
          </w:tcPr>
          <w:p>
            <w:pPr>
              <w:pStyle w:val="TechnicalTable"/>
            </w:pPr>
            <w:r>
              <w:t>Processing</w:t>
            </w:r>
          </w:p>
        </w:tc>
        <w:tc>
          <w:tcPr>
            <w:tcW w:type="dxa" w:w="3400"/>
            <w:vAlign w:val="center"/>
            <w:tcMar>
              <w:top w:w="80" w:type="dxa"/>
              <w:bottom w:w="80" w:type="dxa"/>
              <w:start w:w="120" w:type="dxa"/>
              <w:end w:w="120" w:type="dxa"/>
            </w:tcMar>
          </w:tcPr>
          <w:p>
            <w:pPr>
              <w:pStyle w:val="TechnicalTable"/>
            </w:pPr>
            <w:r>
              <w:t>File is being read, validated, staged and committed.</w:t>
            </w:r>
          </w:p>
        </w:tc>
        <w:tc>
          <w:tcPr>
            <w:tcW w:type="dxa" w:w="3760"/>
            <w:vAlign w:val="center"/>
            <w:tcMar>
              <w:top w:w="80" w:type="dxa"/>
              <w:bottom w:w="80" w:type="dxa"/>
              <w:start w:w="120" w:type="dxa"/>
              <w:end w:w="120" w:type="dxa"/>
            </w:tcMar>
          </w:tcPr>
          <w:p>
            <w:pPr>
              <w:pStyle w:val="TechnicalTable"/>
            </w:pPr>
            <w:r>
              <w:t>Poll status or request cooperative cancellation.</w:t>
            </w:r>
          </w:p>
        </w:tc>
      </w:tr>
      <w:tr>
        <w:trPr>
          <w:cantSplit/>
        </w:trPr>
        <w:tc>
          <w:tcPr>
            <w:tcW w:type="dxa" w:w="2200"/>
            <w:vAlign w:val="center"/>
            <w:tcMar>
              <w:top w:w="80" w:type="dxa"/>
              <w:bottom w:w="80" w:type="dxa"/>
              <w:start w:w="120" w:type="dxa"/>
              <w:end w:w="120" w:type="dxa"/>
            </w:tcMar>
          </w:tcPr>
          <w:p>
            <w:pPr>
              <w:pStyle w:val="TechnicalTable"/>
            </w:pPr>
            <w:r>
              <w:t>Completed</w:t>
            </w:r>
          </w:p>
        </w:tc>
        <w:tc>
          <w:tcPr>
            <w:tcW w:type="dxa" w:w="3400"/>
            <w:vAlign w:val="center"/>
            <w:tcMar>
              <w:top w:w="80" w:type="dxa"/>
              <w:bottom w:w="80" w:type="dxa"/>
              <w:start w:w="120" w:type="dxa"/>
              <w:end w:w="120" w:type="dxa"/>
            </w:tcMar>
          </w:tcPr>
          <w:p>
            <w:pPr>
              <w:pStyle w:val="TechnicalTable"/>
            </w:pPr>
            <w:r>
              <w:t>All processed rows committed successfully.</w:t>
            </w:r>
          </w:p>
        </w:tc>
        <w:tc>
          <w:tcPr>
            <w:tcW w:type="dxa" w:w="3760"/>
            <w:vAlign w:val="center"/>
            <w:tcMar>
              <w:top w:w="80" w:type="dxa"/>
              <w:bottom w:w="80" w:type="dxa"/>
              <w:start w:w="120" w:type="dxa"/>
              <w:end w:w="120" w:type="dxa"/>
            </w:tcMar>
          </w:tcPr>
          <w:p>
            <w:pPr>
              <w:pStyle w:val="TechnicalTable"/>
            </w:pPr>
            <w:r>
              <w:t>Review counts/history.</w:t>
            </w:r>
          </w:p>
        </w:tc>
      </w:tr>
      <w:tr>
        <w:trPr>
          <w:cantSplit/>
        </w:trPr>
        <w:tc>
          <w:tcPr>
            <w:tcW w:type="dxa" w:w="2200"/>
            <w:vAlign w:val="center"/>
            <w:tcMar>
              <w:top w:w="80" w:type="dxa"/>
              <w:bottom w:w="80" w:type="dxa"/>
              <w:start w:w="120" w:type="dxa"/>
              <w:end w:w="120" w:type="dxa"/>
            </w:tcMar>
          </w:tcPr>
          <w:p>
            <w:pPr>
              <w:pStyle w:val="TechnicalTable"/>
            </w:pPr>
            <w:r>
              <w:t>Completed With Errors</w:t>
            </w:r>
          </w:p>
        </w:tc>
        <w:tc>
          <w:tcPr>
            <w:tcW w:type="dxa" w:w="3400"/>
            <w:vAlign w:val="center"/>
            <w:tcMar>
              <w:top w:w="80" w:type="dxa"/>
              <w:bottom w:w="80" w:type="dxa"/>
              <w:start w:w="120" w:type="dxa"/>
              <w:end w:w="120" w:type="dxa"/>
            </w:tcMar>
          </w:tcPr>
          <w:p>
            <w:pPr>
              <w:pStyle w:val="TechnicalTable"/>
            </w:pPr>
            <w:r>
              <w:t>Valid rows committed; one or more rows rejected/skipped.</w:t>
            </w:r>
          </w:p>
        </w:tc>
        <w:tc>
          <w:tcPr>
            <w:tcW w:type="dxa" w:w="3760"/>
            <w:vAlign w:val="center"/>
            <w:tcMar>
              <w:top w:w="80" w:type="dxa"/>
              <w:bottom w:w="80" w:type="dxa"/>
              <w:start w:w="120" w:type="dxa"/>
              <w:end w:w="120" w:type="dxa"/>
            </w:tcMar>
          </w:tcPr>
          <w:p>
            <w:pPr>
              <w:pStyle w:val="TechnicalTable"/>
            </w:pPr>
            <w:r>
              <w:t>Review paged import errors.</w:t>
            </w:r>
          </w:p>
        </w:tc>
      </w:tr>
      <w:tr>
        <w:trPr>
          <w:cantSplit/>
        </w:trPr>
        <w:tc>
          <w:tcPr>
            <w:tcW w:type="dxa" w:w="2200"/>
            <w:vAlign w:val="center"/>
            <w:tcMar>
              <w:top w:w="80" w:type="dxa"/>
              <w:bottom w:w="80" w:type="dxa"/>
              <w:start w:w="120" w:type="dxa"/>
              <w:end w:w="120" w:type="dxa"/>
            </w:tcMar>
          </w:tcPr>
          <w:p>
            <w:pPr>
              <w:pStyle w:val="TechnicalTable"/>
            </w:pPr>
            <w:r>
              <w:t>Failed</w:t>
            </w:r>
          </w:p>
        </w:tc>
        <w:tc>
          <w:tcPr>
            <w:tcW w:type="dxa" w:w="3400"/>
            <w:vAlign w:val="center"/>
            <w:tcMar>
              <w:top w:w="80" w:type="dxa"/>
              <w:bottom w:w="80" w:type="dxa"/>
              <w:start w:w="120" w:type="dxa"/>
              <w:end w:w="120" w:type="dxa"/>
            </w:tcMar>
          </w:tcPr>
          <w:p>
            <w:pPr>
              <w:pStyle w:val="TechnicalTable"/>
            </w:pPr>
            <w:r>
              <w:t>A critical structural or processing error prevented completion.</w:t>
            </w:r>
          </w:p>
        </w:tc>
        <w:tc>
          <w:tcPr>
            <w:tcW w:type="dxa" w:w="3760"/>
            <w:vAlign w:val="center"/>
            <w:tcMar>
              <w:top w:w="80" w:type="dxa"/>
              <w:bottom w:w="80" w:type="dxa"/>
              <w:start w:w="120" w:type="dxa"/>
              <w:end w:w="120" w:type="dxa"/>
            </w:tcMar>
          </w:tcPr>
          <w:p>
            <w:pPr>
              <w:pStyle w:val="TechnicalTable"/>
            </w:pPr>
            <w:r>
              <w:t>Review FailureMessage and ImportErrors.</w:t>
            </w:r>
          </w:p>
        </w:tc>
      </w:tr>
      <w:tr>
        <w:trPr>
          <w:cantSplit/>
        </w:trPr>
        <w:tc>
          <w:tcPr>
            <w:tcW w:type="dxa" w:w="2200"/>
            <w:vAlign w:val="center"/>
            <w:tcMar>
              <w:top w:w="80" w:type="dxa"/>
              <w:bottom w:w="80" w:type="dxa"/>
              <w:start w:w="120" w:type="dxa"/>
              <w:end w:w="120" w:type="dxa"/>
            </w:tcMar>
          </w:tcPr>
          <w:p>
            <w:pPr>
              <w:pStyle w:val="TechnicalTable"/>
            </w:pPr>
            <w:r>
              <w:t>Cancelled</w:t>
            </w:r>
          </w:p>
        </w:tc>
        <w:tc>
          <w:tcPr>
            <w:tcW w:type="dxa" w:w="3400"/>
            <w:vAlign w:val="center"/>
            <w:tcMar>
              <w:top w:w="80" w:type="dxa"/>
              <w:bottom w:w="80" w:type="dxa"/>
              <w:start w:w="120" w:type="dxa"/>
              <w:end w:w="120" w:type="dxa"/>
            </w:tcMar>
          </w:tcPr>
          <w:p>
            <w:pPr>
              <w:pStyle w:val="TechnicalTable"/>
            </w:pPr>
            <w:r>
              <w:t>Cancellation was requested/observed before final completion.</w:t>
            </w:r>
          </w:p>
        </w:tc>
        <w:tc>
          <w:tcPr>
            <w:tcW w:type="dxa" w:w="3760"/>
            <w:vAlign w:val="center"/>
            <w:tcMar>
              <w:top w:w="80" w:type="dxa"/>
              <w:bottom w:w="80" w:type="dxa"/>
              <w:start w:w="120" w:type="dxa"/>
              <w:end w:w="120" w:type="dxa"/>
            </w:tcMar>
          </w:tcPr>
          <w:p>
            <w:pPr>
              <w:pStyle w:val="TechnicalTable"/>
            </w:pPr>
            <w:r>
              <w:t>Prior committed dataset state remains protected.</w:t>
            </w:r>
          </w:p>
        </w:tc>
      </w:tr>
    </w:tbl>
    <w:p>
      <w:pPr>
        <w:pStyle w:val="SourceNote"/>
        <w:spacing w:before="0" w:after="60" w:line="60" w:lineRule="exact"/>
      </w:pPr>
    </w:p>
    <w:p>
      <w:pPr>
        <w:pStyle w:val="Heading3"/>
        <w:keepNext/>
      </w:pPr>
      <w:r>
        <w:t>Concurrency, Cancellation and Atomicity</w:t>
      </w:r>
    </w:p>
    <w:p>
      <w:pPr>
        <w:pStyle w:val="ListBullet"/>
        <w:numPr>
          <w:ilvl w:val="0"/>
          <w:numId w:val="10"/>
        </w:numPr>
      </w:pPr>
      <w:r>
        <w:t>Only one Queued or Processing import is allowed for a dataset; the start check uses a serializable transaction.</w:t>
      </w:r>
    </w:p>
    <w:p>
      <w:pPr>
        <w:pStyle w:val="ListBullet"/>
        <w:numPr>
          <w:ilvl w:val="0"/>
          <w:numId w:val="10"/>
        </w:numPr>
      </w:pPr>
      <w:r>
        <w:t>Different datasets may enqueue imports independently.</w:t>
      </w:r>
    </w:p>
    <w:p>
      <w:pPr>
        <w:pStyle w:val="ListBullet"/>
        <w:numPr>
          <w:ilvl w:val="0"/>
          <w:numId w:val="10"/>
        </w:numPr>
      </w:pPr>
      <w:r>
        <w:t>Queued imports can be marked Cancelled immediately; processing imports receive a linked cancellation token.</w:t>
      </w:r>
    </w:p>
    <w:p>
      <w:pPr>
        <w:pStyle w:val="ListBullet"/>
        <w:numPr>
          <w:ilvl w:val="0"/>
          <w:numId w:val="10"/>
        </w:numPr>
      </w:pPr>
      <w:r>
        <w:t>Final dataset mutation is transactional. An exception or cancellation rolls back the mutation and prevents partial final records.</w:t>
      </w:r>
    </w:p>
    <w:p>
      <w:pPr>
        <w:pStyle w:val="Heading2"/>
        <w:keepNext/>
      </w:pPr>
      <w:r>
        <w:t>REST API Specification</w:t>
      </w:r>
    </w:p>
    <w:p>
      <w:pPr/>
      <w:r>
        <w:t>All routes require JWT authentication and the permission shown below. Dataset and import queries remain restricted by the existing workspace query filters.</w:t>
      </w:r>
    </w:p>
    <w:tbl>
      <w:tblPr>
        <w:tblW w:type="dxa" w:w="9360"/>
        <w:jc w:val="left"/>
        <w:tblLayout w:type="fixed"/>
        <w:tblLook w:firstColumn="1" w:firstRow="1" w:lastColumn="0" w:lastRow="0" w:noHBand="0" w:noVBand="1" w:val="04A0"/>
        <w:tblInd w:type="dxa" w:w="120"/>
        <w:tblBorders>
          <w:top w:val="single" w:sz="4" w:color="CDD7E2"/>
          <w:left w:val="single" w:sz="4" w:color="CDD7E2"/>
          <w:bottom w:val="single" w:sz="4" w:color="CDD7E2"/>
          <w:right w:val="single" w:sz="4" w:color="CDD7E2"/>
          <w:insideH w:val="single" w:sz="4" w:color="CDD7E2"/>
          <w:insideV w:val="single" w:sz="4" w:color="CDD7E2"/>
        </w:tblBorders>
      </w:tblPr>
      <w:tblGrid>
        <w:gridCol w:w="5300"/>
        <w:gridCol w:w="4060"/>
      </w:tblGrid>
      <w:tr>
        <w:trPr>
          <w:cantSplit/>
          <w:tblHeader/>
        </w:trPr>
        <w:tc>
          <w:tcPr>
            <w:tcW w:type="dxa" w:w="5300"/>
            <w:vAlign w:val="center"/>
            <w:shd w:fill="E8EEF5"/>
            <w:tcMar>
              <w:top w:w="80" w:type="dxa"/>
              <w:bottom w:w="80" w:type="dxa"/>
              <w:start w:w="120" w:type="dxa"/>
              <w:end w:w="120" w:type="dxa"/>
            </w:tcMar>
          </w:tcPr>
          <w:p>
            <w:pPr>
              <w:pStyle w:val="TechnicalTable"/>
            </w:pPr>
            <w:r>
              <w:rPr>
                <w:b/>
              </w:rPr>
              <w:t>Method / route</w:t>
            </w:r>
          </w:p>
        </w:tc>
        <w:tc>
          <w:tcPr>
            <w:tcW w:type="dxa" w:w="4060"/>
            <w:vAlign w:val="center"/>
            <w:shd w:fill="E8EEF5"/>
            <w:tcMar>
              <w:top w:w="80" w:type="dxa"/>
              <w:bottom w:w="80" w:type="dxa"/>
              <w:start w:w="120" w:type="dxa"/>
              <w:end w:w="120" w:type="dxa"/>
            </w:tcMar>
          </w:tcPr>
          <w:p>
            <w:pPr>
              <w:pStyle w:val="TechnicalTable"/>
            </w:pPr>
            <w:r>
              <w:rPr>
                <w:b/>
              </w:rPr>
              <w:t>Permission / purpose</w:t>
            </w:r>
          </w:p>
        </w:tc>
      </w:tr>
      <w:tr>
        <w:trPr>
          <w:cantSplit/>
        </w:trPr>
        <w:tc>
          <w:tcPr>
            <w:tcW w:type="dxa" w:w="5300"/>
            <w:vAlign w:val="center"/>
            <w:tcMar>
              <w:top w:w="80" w:type="dxa"/>
              <w:bottom w:w="80" w:type="dxa"/>
              <w:start w:w="120" w:type="dxa"/>
              <w:end w:w="120" w:type="dxa"/>
            </w:tcMar>
          </w:tcPr>
          <w:p>
            <w:pPr>
              <w:pStyle w:val="TechnicalTable"/>
            </w:pPr>
            <w:r>
              <w:t>POST /api/datasets/{datasetId}/imports/files</w:t>
            </w:r>
          </w:p>
        </w:tc>
        <w:tc>
          <w:tcPr>
            <w:tcW w:type="dxa" w:w="4060"/>
            <w:vAlign w:val="center"/>
            <w:tcMar>
              <w:top w:w="80" w:type="dxa"/>
              <w:bottom w:w="80" w:type="dxa"/>
              <w:start w:w="120" w:type="dxa"/>
              <w:end w:w="120" w:type="dxa"/>
            </w:tcMar>
          </w:tcPr>
          <w:p>
            <w:pPr>
              <w:pStyle w:val="TechnicalTable"/>
            </w:pPr>
            <w:r>
              <w:t>imports.upload</w:t>
              <w:br/>
              <w:t>Upload CSV/XLSX; return file metadata and sheet names.</w:t>
            </w:r>
          </w:p>
        </w:tc>
      </w:tr>
      <w:tr>
        <w:trPr>
          <w:cantSplit/>
        </w:trPr>
        <w:tc>
          <w:tcPr>
            <w:tcW w:type="dxa" w:w="5300"/>
            <w:vAlign w:val="center"/>
            <w:tcMar>
              <w:top w:w="80" w:type="dxa"/>
              <w:bottom w:w="80" w:type="dxa"/>
              <w:start w:w="120" w:type="dxa"/>
              <w:end w:w="120" w:type="dxa"/>
            </w:tcMar>
          </w:tcPr>
          <w:p>
            <w:pPr>
              <w:pStyle w:val="TechnicalTable"/>
            </w:pPr>
            <w:r>
              <w:t>POST /api/datasets/{datasetId}/imports</w:t>
            </w:r>
          </w:p>
        </w:tc>
        <w:tc>
          <w:tcPr>
            <w:tcW w:type="dxa" w:w="4060"/>
            <w:vAlign w:val="center"/>
            <w:tcMar>
              <w:top w:w="80" w:type="dxa"/>
              <w:bottom w:w="80" w:type="dxa"/>
              <w:start w:w="120" w:type="dxa"/>
              <w:end w:w="120" w:type="dxa"/>
            </w:tcMar>
          </w:tcPr>
          <w:p>
            <w:pPr>
              <w:pStyle w:val="TechnicalTable"/>
            </w:pPr>
            <w:r>
              <w:t>imports.create</w:t>
              <w:br/>
              <w:t>Create import configuration in Created status.</w:t>
            </w:r>
          </w:p>
        </w:tc>
      </w:tr>
      <w:tr>
        <w:trPr>
          <w:cantSplit/>
        </w:trPr>
        <w:tc>
          <w:tcPr>
            <w:tcW w:type="dxa" w:w="5300"/>
            <w:vAlign w:val="center"/>
            <w:tcMar>
              <w:top w:w="80" w:type="dxa"/>
              <w:bottom w:w="80" w:type="dxa"/>
              <w:start w:w="120" w:type="dxa"/>
              <w:end w:w="120" w:type="dxa"/>
            </w:tcMar>
          </w:tcPr>
          <w:p>
            <w:pPr>
              <w:pStyle w:val="TechnicalTable"/>
            </w:pPr>
            <w:r>
              <w:t>POST /api/imports/{importId}/start</w:t>
            </w:r>
          </w:p>
        </w:tc>
        <w:tc>
          <w:tcPr>
            <w:tcW w:type="dxa" w:w="4060"/>
            <w:vAlign w:val="center"/>
            <w:tcMar>
              <w:top w:w="80" w:type="dxa"/>
              <w:bottom w:w="80" w:type="dxa"/>
              <w:start w:w="120" w:type="dxa"/>
              <w:end w:w="120" w:type="dxa"/>
            </w:tcMar>
          </w:tcPr>
          <w:p>
            <w:pPr>
              <w:pStyle w:val="TechnicalTable"/>
            </w:pPr>
            <w:r>
              <w:t>imports.start</w:t>
              <w:br/>
              <w:t>Queue an eligible import for background processing.</w:t>
            </w:r>
          </w:p>
        </w:tc>
      </w:tr>
      <w:tr>
        <w:trPr>
          <w:cantSplit/>
        </w:trPr>
        <w:tc>
          <w:tcPr>
            <w:tcW w:type="dxa" w:w="5300"/>
            <w:vAlign w:val="center"/>
            <w:tcMar>
              <w:top w:w="80" w:type="dxa"/>
              <w:bottom w:w="80" w:type="dxa"/>
              <w:start w:w="120" w:type="dxa"/>
              <w:end w:w="120" w:type="dxa"/>
            </w:tcMar>
          </w:tcPr>
          <w:p>
            <w:pPr>
              <w:pStyle w:val="TechnicalTable"/>
            </w:pPr>
            <w:r>
              <w:t>GET /api/imports/{importId}</w:t>
            </w:r>
          </w:p>
        </w:tc>
        <w:tc>
          <w:tcPr>
            <w:tcW w:type="dxa" w:w="4060"/>
            <w:vAlign w:val="center"/>
            <w:tcMar>
              <w:top w:w="80" w:type="dxa"/>
              <w:bottom w:w="80" w:type="dxa"/>
              <w:start w:w="120" w:type="dxa"/>
              <w:end w:w="120" w:type="dxa"/>
            </w:tcMar>
          </w:tcPr>
          <w:p>
            <w:pPr>
              <w:pStyle w:val="TechnicalTable"/>
            </w:pPr>
            <w:r>
              <w:t>imports.view</w:t>
              <w:br/>
              <w:t>Get mode, status, counts, timing, keys and failure details.</w:t>
            </w:r>
          </w:p>
        </w:tc>
      </w:tr>
      <w:tr>
        <w:trPr>
          <w:cantSplit/>
        </w:trPr>
        <w:tc>
          <w:tcPr>
            <w:tcW w:type="dxa" w:w="5300"/>
            <w:vAlign w:val="center"/>
            <w:tcMar>
              <w:top w:w="80" w:type="dxa"/>
              <w:bottom w:w="80" w:type="dxa"/>
              <w:start w:w="120" w:type="dxa"/>
              <w:end w:w="120" w:type="dxa"/>
            </w:tcMar>
          </w:tcPr>
          <w:p>
            <w:pPr>
              <w:pStyle w:val="TechnicalTable"/>
            </w:pPr>
            <w:r>
              <w:t>GET /api/imports?datasetId=&amp;status=&amp;page=&amp;pageSize=</w:t>
            </w:r>
          </w:p>
        </w:tc>
        <w:tc>
          <w:tcPr>
            <w:tcW w:type="dxa" w:w="4060"/>
            <w:vAlign w:val="center"/>
            <w:tcMar>
              <w:top w:w="80" w:type="dxa"/>
              <w:bottom w:w="80" w:type="dxa"/>
              <w:start w:w="120" w:type="dxa"/>
              <w:end w:w="120" w:type="dxa"/>
            </w:tcMar>
          </w:tcPr>
          <w:p>
            <w:pPr>
              <w:pStyle w:val="TechnicalTable"/>
            </w:pPr>
            <w:r>
              <w:t>imports.view</w:t>
              <w:br/>
              <w:t>Paged, newest-first import history with optional filters.</w:t>
            </w:r>
          </w:p>
        </w:tc>
      </w:tr>
      <w:tr>
        <w:trPr>
          <w:cantSplit/>
        </w:trPr>
        <w:tc>
          <w:tcPr>
            <w:tcW w:type="dxa" w:w="5300"/>
            <w:vAlign w:val="center"/>
            <w:tcMar>
              <w:top w:w="80" w:type="dxa"/>
              <w:bottom w:w="80" w:type="dxa"/>
              <w:start w:w="120" w:type="dxa"/>
              <w:end w:w="120" w:type="dxa"/>
            </w:tcMar>
          </w:tcPr>
          <w:p>
            <w:pPr>
              <w:pStyle w:val="TechnicalTable"/>
            </w:pPr>
            <w:r>
              <w:t>GET /api/imports/{importId}/errors?page=&amp;pageSize=</w:t>
            </w:r>
          </w:p>
        </w:tc>
        <w:tc>
          <w:tcPr>
            <w:tcW w:type="dxa" w:w="4060"/>
            <w:vAlign w:val="center"/>
            <w:tcMar>
              <w:top w:w="80" w:type="dxa"/>
              <w:bottom w:w="80" w:type="dxa"/>
              <w:start w:w="120" w:type="dxa"/>
              <w:end w:w="120" w:type="dxa"/>
            </w:tcMar>
          </w:tcPr>
          <w:p>
            <w:pPr>
              <w:pStyle w:val="TechnicalTable"/>
            </w:pPr>
            <w:r>
              <w:t>imports.errors.view</w:t>
              <w:br/>
              <w:t>Paged row/column-level validation and duplicate errors.</w:t>
            </w:r>
          </w:p>
        </w:tc>
      </w:tr>
      <w:tr>
        <w:trPr>
          <w:cantSplit/>
        </w:trPr>
        <w:tc>
          <w:tcPr>
            <w:tcW w:type="dxa" w:w="5300"/>
            <w:vAlign w:val="center"/>
            <w:tcMar>
              <w:top w:w="80" w:type="dxa"/>
              <w:bottom w:w="80" w:type="dxa"/>
              <w:start w:w="120" w:type="dxa"/>
              <w:end w:w="120" w:type="dxa"/>
            </w:tcMar>
          </w:tcPr>
          <w:p>
            <w:pPr>
              <w:pStyle w:val="TechnicalTable"/>
            </w:pPr>
            <w:r>
              <w:t>POST /api/imports/{importId}/cancel</w:t>
            </w:r>
          </w:p>
        </w:tc>
        <w:tc>
          <w:tcPr>
            <w:tcW w:type="dxa" w:w="4060"/>
            <w:vAlign w:val="center"/>
            <w:tcMar>
              <w:top w:w="80" w:type="dxa"/>
              <w:bottom w:w="80" w:type="dxa"/>
              <w:start w:w="120" w:type="dxa"/>
              <w:end w:w="120" w:type="dxa"/>
            </w:tcMar>
          </w:tcPr>
          <w:p>
            <w:pPr>
              <w:pStyle w:val="TechnicalTable"/>
            </w:pPr>
            <w:r>
              <w:t>imports.cancel</w:t>
              <w:br/>
              <w:t>Cancel a queued import or request processing cancellation.</w:t>
            </w:r>
          </w:p>
        </w:tc>
      </w:tr>
      <w:tr>
        <w:trPr>
          <w:cantSplit/>
        </w:trPr>
        <w:tc>
          <w:tcPr>
            <w:tcW w:type="dxa" w:w="5300"/>
            <w:vAlign w:val="center"/>
            <w:tcMar>
              <w:top w:w="80" w:type="dxa"/>
              <w:bottom w:w="80" w:type="dxa"/>
              <w:start w:w="120" w:type="dxa"/>
              <w:end w:w="120" w:type="dxa"/>
            </w:tcMar>
          </w:tcPr>
          <w:p>
            <w:pPr>
              <w:pStyle w:val="TechnicalTable"/>
            </w:pPr>
            <w:r>
              <w:t>GET /api/datasets/{datasetId}/import-schema</w:t>
            </w:r>
          </w:p>
        </w:tc>
        <w:tc>
          <w:tcPr>
            <w:tcW w:type="dxa" w:w="4060"/>
            <w:vAlign w:val="center"/>
            <w:tcMar>
              <w:top w:w="80" w:type="dxa"/>
              <w:bottom w:w="80" w:type="dxa"/>
              <w:start w:w="120" w:type="dxa"/>
              <w:end w:w="120" w:type="dxa"/>
            </w:tcMar>
          </w:tcPr>
          <w:p>
            <w:pPr>
              <w:pStyle w:val="TechnicalTable"/>
            </w:pPr>
            <w:r>
              <w:t>imports.view</w:t>
              <w:br/>
              <w:t>Return inferred columns, order, required flags and keys.</w:t>
            </w:r>
          </w:p>
        </w:tc>
      </w:tr>
      <w:tr>
        <w:trPr>
          <w:cantSplit/>
        </w:trPr>
        <w:tc>
          <w:tcPr>
            <w:tcW w:type="dxa" w:w="5300"/>
            <w:vAlign w:val="center"/>
            <w:tcMar>
              <w:top w:w="80" w:type="dxa"/>
              <w:bottom w:w="80" w:type="dxa"/>
              <w:start w:w="120" w:type="dxa"/>
              <w:end w:w="120" w:type="dxa"/>
            </w:tcMar>
          </w:tcPr>
          <w:p>
            <w:pPr>
              <w:pStyle w:val="TechnicalTable"/>
            </w:pPr>
            <w:r>
              <w:t>PUT /api/datasets/{datasetId}/import-schema/key-columns</w:t>
            </w:r>
          </w:p>
        </w:tc>
        <w:tc>
          <w:tcPr>
            <w:tcW w:type="dxa" w:w="4060"/>
            <w:vAlign w:val="center"/>
            <w:tcMar>
              <w:top w:w="80" w:type="dxa"/>
              <w:bottom w:w="80" w:type="dxa"/>
              <w:start w:w="120" w:type="dxa"/>
              <w:end w:w="120" w:type="dxa"/>
            </w:tcMar>
          </w:tcPr>
          <w:p>
            <w:pPr>
              <w:pStyle w:val="TechnicalTable"/>
            </w:pPr>
            <w:r>
              <w:t>imports.schema.manage</w:t>
              <w:br/>
              <w:t>Replace dataset key-column flags after schema creation.</w:t>
            </w:r>
          </w:p>
        </w:tc>
      </w:tr>
    </w:tbl>
    <w:p>
      <w:pPr>
        <w:pStyle w:val="SourceNote"/>
        <w:spacing w:before="0" w:after="60" w:line="60" w:lineRule="exact"/>
      </w:pPr>
    </w:p>
    <w:p>
      <w:pPr>
        <w:pStyle w:val="Heading3"/>
        <w:keepNext/>
      </w:pPr>
      <w:r>
        <w:t>Representative Upload Response</w:t>
      </w:r>
    </w:p>
    <w:p>
      <w:pPr>
        <w:pStyle w:val="TechnicalCode"/>
        <w:keepNext/>
        <w:spacing w:before="60" w:after="0"/>
        <w:shd w:fill="F4F6F9"/>
      </w:pPr>
      <w:r>
        <w:rPr>
          <w:rFonts w:ascii="DejaVu Sans Mono" w:hAnsi="DejaVu Sans Mono" w:eastAsia="DejaVu Sans Mono" w:cs="DejaVu Sans Mono"/>
        </w:rPr>
        <w:t>{</w:t>
      </w:r>
    </w:p>
    <w:p>
      <w:pPr>
        <w:pStyle w:val="TechnicalCode"/>
        <w:keepNext/>
        <w:spacing w:before="0" w:after="0"/>
        <w:shd w:fill="F4F6F9"/>
      </w:pPr>
      <w:r>
        <w:rPr>
          <w:rFonts w:ascii="DejaVu Sans Mono" w:hAnsi="DejaVu Sans Mono" w:eastAsia="DejaVu Sans Mono" w:cs="DejaVu Sans Mono"/>
        </w:rPr>
        <w:t xml:space="preserve">  "fileId": "11111111-2222-3333-4444-555555555555",</w:t>
      </w:r>
    </w:p>
    <w:p>
      <w:pPr>
        <w:pStyle w:val="TechnicalCode"/>
        <w:keepNext/>
        <w:spacing w:before="0" w:after="0"/>
        <w:shd w:fill="F4F6F9"/>
      </w:pPr>
      <w:r>
        <w:rPr>
          <w:rFonts w:ascii="DejaVu Sans Mono" w:hAnsi="DejaVu Sans Mono" w:eastAsia="DejaVu Sans Mono" w:cs="DejaVu Sans Mono"/>
        </w:rPr>
        <w:t xml:space="preserve">  "datasetId": "aaaaaaaa-bbbb-cccc-dddd-eeeeeeeeeeee",</w:t>
      </w:r>
    </w:p>
    <w:p>
      <w:pPr>
        <w:pStyle w:val="TechnicalCode"/>
        <w:keepNext/>
        <w:spacing w:before="0" w:after="0"/>
        <w:shd w:fill="F4F6F9"/>
      </w:pPr>
      <w:r>
        <w:rPr>
          <w:rFonts w:ascii="DejaVu Sans Mono" w:hAnsi="DejaVu Sans Mono" w:eastAsia="DejaVu Sans Mono" w:cs="DejaVu Sans Mono"/>
        </w:rPr>
        <w:t xml:space="preserve">  "fileName": "customers.xlsx",</w:t>
      </w:r>
    </w:p>
    <w:p>
      <w:pPr>
        <w:pStyle w:val="TechnicalCode"/>
        <w:keepNext/>
        <w:spacing w:before="0" w:after="0"/>
        <w:shd w:fill="F4F6F9"/>
      </w:pPr>
      <w:r>
        <w:rPr>
          <w:rFonts w:ascii="DejaVu Sans Mono" w:hAnsi="DejaVu Sans Mono" w:eastAsia="DejaVu Sans Mono" w:cs="DejaVu Sans Mono"/>
        </w:rPr>
        <w:t xml:space="preserve">  "fileSizeBytes": 41231,</w:t>
      </w:r>
    </w:p>
    <w:p>
      <w:pPr>
        <w:pStyle w:val="TechnicalCode"/>
        <w:keepNext/>
        <w:spacing w:before="0" w:after="0"/>
        <w:shd w:fill="F4F6F9"/>
      </w:pPr>
      <w:r>
        <w:rPr>
          <w:rFonts w:ascii="DejaVu Sans Mono" w:hAnsi="DejaVu Sans Mono" w:eastAsia="DejaVu Sans Mono" w:cs="DejaVu Sans Mono"/>
        </w:rPr>
        <w:t xml:space="preserve">  "availableSheets": ["Customers", "Lookup"],</w:t>
      </w:r>
    </w:p>
    <w:p>
      <w:pPr>
        <w:pStyle w:val="TechnicalCode"/>
        <w:keepNext/>
        <w:spacing w:before="0" w:after="0"/>
        <w:shd w:fill="F4F6F9"/>
      </w:pPr>
      <w:r>
        <w:rPr>
          <w:rFonts w:ascii="DejaVu Sans Mono" w:hAnsi="DejaVu Sans Mono" w:eastAsia="DejaVu Sans Mono" w:cs="DejaVu Sans Mono"/>
        </w:rPr>
        <w:t xml:space="preserve">  "uploadedAtUtc": "2026-08-11T04:00:00Z"</w:t>
      </w:r>
    </w:p>
    <w:p>
      <w:pPr>
        <w:pStyle w:val="TechnicalCode"/>
        <w:keepNext w:val="0"/>
        <w:spacing w:before="0" w:after="140"/>
        <w:shd w:fill="F4F6F9"/>
      </w:pPr>
      <w:r>
        <w:rPr>
          <w:rFonts w:ascii="DejaVu Sans Mono" w:hAnsi="DejaVu Sans Mono" w:eastAsia="DejaVu Sans Mono" w:cs="DejaVu Sans Mono"/>
        </w:rPr>
        <w:t>}</w:t>
      </w:r>
    </w:p>
    <w:p>
      <w:pPr/>
      <w:r>
        <w:t>Pagination safeguards: import history clamps pageSize to 1–100; error history clamps pageSize to 1–200. Both normalize page values to at least 1.</w:t>
      </w:r>
    </w:p>
    <w:p>
      <w:pPr>
        <w:pStyle w:val="Heading1"/>
        <w:keepNext/>
      </w:pPr>
      <w:r>
        <w:t>Data quality profiling and monitoring</w:t>
      </w:r>
    </w:p>
    <w:p>
      <w:pPr>
        <w:pStyle w:val="Heading2"/>
        <w:keepNext/>
      </w:pPr>
      <w:r>
        <w:t>Delivered architecture</w:t>
      </w:r>
    </w:p>
    <w:p>
      <w:pPr/>
      <w:r>
        <w:t>The quality profiling module profiles the entire current committed dataset. A committed import with status Completed or Completed With Errors creates an automatic ProfileRun after commit; authorized users can also queue manual runs using the shared background infrastructure. This trigger condition is broader than the Completed-only SuccessfulImports KPI used by analytics.</w:t>
      </w:r>
    </w:p>
    <w:p>
      <w:pPr/>
      <w:r>
        <w:t>Each immutable profile stores the triggering ImportId when applicable, trigger type, lifecycle status, retry count, applied threshold snapshot, scoring version, overall/dimension scores, column metrics, detailed issues, and UTC timestamps. A manual profile stores ImportId = NULL, never mutates dataset records, and evaluates the active transformation and validation configuration. An automatic profile uses the transformation configuration pinned to its triggering import where available.</w:t>
      </w:r>
    </w:p>
    <w:p>
      <w:pPr>
        <w:pStyle w:val="Heading2"/>
        <w:keepNext/>
      </w:pPr>
      <w:r>
        <w:t>Profiling lifecycle</w:t>
      </w:r>
    </w:p>
    <w:p>
      <w:pPr>
        <w:pStyle w:val="TechnicalCode"/>
        <w:keepNext w:val="0"/>
        <w:spacing w:before="60" w:after="140"/>
        <w:shd w:fill="F4F6F9"/>
      </w:pPr>
      <w:r>
        <w:rPr>
          <w:rFonts w:ascii="DejaVu Sans Mono" w:hAnsi="DejaVu Sans Mono" w:eastAsia="DejaVu Sans Mono" w:cs="DejaVu Sans Mono"/>
        </w:rPr>
        <w:t>Queued -&gt; Processing -&gt; Completed | Failed | Cancelled</w:t>
      </w:r>
    </w:p>
    <w:p>
      <w:pPr/>
      <w:r>
        <w:t>Transient timeout/database failures receive up to two retries (three total attempts) with short incremental delays. Queued cancellation is immediate; processing cancellation is cooperative.</w:t>
      </w:r>
    </w:p>
    <w:p>
      <w:pPr>
        <w:pStyle w:val="Heading2"/>
        <w:keepNext/>
      </w:pPr>
      <w:r>
        <w:t>Calculations</w:t>
      </w:r>
    </w:p>
    <w:p>
      <w:pPr/>
      <w:r>
        <w:t>All percentages are numeric values from 0.00 to 100.00 and are rounded to two decimals. Zero denominators return N/A (null in JSON).</w:t>
      </w:r>
    </w:p>
    <w:p>
      <w:pPr>
        <w:pStyle w:val="Heading3"/>
        <w:keepNext/>
      </w:pPr>
      <w:r>
        <w:t>Completeness</w:t>
      </w:r>
    </w:p>
    <w:p>
      <w:pPr>
        <w:pStyle w:val="TechnicalCode"/>
        <w:keepNext w:val="0"/>
        <w:spacing w:before="60" w:after="140"/>
        <w:shd w:fill="F4F6F9"/>
      </w:pPr>
      <w:r>
        <w:rPr>
          <w:rFonts w:ascii="DejaVu Sans Mono" w:hAnsi="DejaVu Sans Mono" w:eastAsia="DejaVu Sans Mono" w:cs="DejaVu Sans Mono"/>
        </w:rPr>
        <w:t>Completeness = non-null values passing applicable validation / total applicable values * 100</w:t>
      </w:r>
    </w:p>
    <w:p>
      <w:pPr/>
      <w:r>
        <w:t>DatasetColumn.IsRequired is the primary nullability rule. Completeness is score-applicable to required columns. Optional-column null counts remain visible but do not create a missing-value issue or force completeness into the column score. An active Required validation rule can make an optional schema column required; The validation module cannot make a required schema column optional.</w:t>
      </w:r>
    </w:p>
    <w:p>
      <w:pPr>
        <w:pStyle w:val="Heading3"/>
        <w:keepNext/>
      </w:pPr>
      <w:r>
        <w:t>Validity</w:t>
      </w:r>
    </w:p>
    <w:p>
      <w:pPr>
        <w:pStyle w:val="TechnicalCode"/>
        <w:keepNext w:val="0"/>
        <w:spacing w:before="60" w:after="140"/>
        <w:shd w:fill="F4F6F9"/>
      </w:pPr>
      <w:r>
        <w:rPr>
          <w:rFonts w:ascii="DejaVu Sans Mono" w:hAnsi="DejaVu Sans Mono" w:eastAsia="DejaVu Sans Mono" w:cs="DejaVu Sans Mono"/>
        </w:rPr>
        <w:t>Dataset validity = current records with no validation failure / total current records * 100</w:t>
      </w:r>
    </w:p>
    <w:p>
      <w:pPr/>
      <w:r>
        <w:t>The profiler re-evaluates current committed values against schema types and the applicable Required, DataType, MaximumLength, MinimumLength, NumericRange, DateRange, AllowedValues, and Pattern rules. Import statistics remain separate: attempted records, rejected records, validation rate, and error rate are derived from the triggering import.</w:t>
      </w:r>
    </w:p>
    <w:p>
      <w:pPr>
        <w:pStyle w:val="Heading3"/>
        <w:keepNext/>
      </w:pPr>
      <w:r>
        <w:t>Uniqueness</w:t>
      </w:r>
    </w:p>
    <w:p>
      <w:pPr>
        <w:pStyle w:val="TechnicalCode"/>
        <w:keepNext w:val="0"/>
        <w:spacing w:before="60" w:after="140"/>
        <w:shd w:fill="F4F6F9"/>
      </w:pPr>
      <w:r>
        <w:rPr>
          <w:rFonts w:ascii="DejaVu Sans Mono" w:hAnsi="DejaVu Sans Mono" w:eastAsia="DejaVu Sans Mono" w:cs="DejaVu Sans Mono"/>
        </w:rPr>
        <w:t>Uniqueness = distinct applicable non-null values / applicable non-null values * 100</w:t>
      </w:r>
    </w:p>
    <w:p>
      <w:pPr>
        <w:pStyle w:val="TechnicalCode"/>
        <w:keepNext w:val="0"/>
        <w:spacing w:before="60" w:after="140"/>
        <w:shd w:fill="F4F6F9"/>
      </w:pPr>
      <w:r>
        <w:rPr>
          <w:rFonts w:ascii="DejaVu Sans Mono" w:hAnsi="DejaVu Sans Mono" w:eastAsia="DejaVu Sans Mono" w:cs="DejaVu Sans Mono"/>
        </w:rPr>
        <w:t>Duplicate count = applicable non-null values - distinct values</w:t>
      </w:r>
    </w:p>
    <w:p>
      <w:pPr/>
      <w:r>
        <w:t>String distinctness is trimmed and case-insensitive. Numeric, Boolean, and DateTime values are canonicalized by data type. Dataset-level uniqueness applies only when key columns exist and reuses the committed record KeyHash produced by the ingestion module. Non-key columns expose distinct, unique-occurrence, and duplicate statistics but uniqueness does not affect their quality score.</w:t>
      </w:r>
    </w:p>
    <w:p>
      <w:pPr>
        <w:pStyle w:val="Heading3"/>
        <w:keepNext/>
      </w:pPr>
      <w:r>
        <w:t>Consistency</w:t>
      </w:r>
    </w:p>
    <w:p>
      <w:pPr>
        <w:pStyle w:val="TechnicalCode"/>
        <w:keepNext w:val="0"/>
        <w:spacing w:before="60" w:after="140"/>
        <w:shd w:fill="F4F6F9"/>
      </w:pPr>
      <w:r>
        <w:rPr>
          <w:rFonts w:ascii="DejaVu Sans Mono" w:hAnsi="DejaVu Sans Mono" w:eastAsia="DejaVu Sans Mono" w:cs="DejaVu Sans Mono"/>
        </w:rPr>
        <w:t>Consistency = records without structural/format inconsistency / total records * 100</w:t>
      </w:r>
    </w:p>
    <w:p>
      <w:pPr/>
      <w:r>
        <w:t>Consistency covers data-type compatibility, configured date formatting, Pattern rules, and AllowedValues rules. It does not claim real-world business accuracy. Accuracy is intentionally not exposed as a score because no ground-truth dataset exists.</w:t>
      </w:r>
    </w:p>
    <w:p>
      <w:pPr>
        <w:pStyle w:val="Heading3"/>
        <w:keepNext/>
      </w:pPr>
      <w:r>
        <w:t>Error rate</w:t>
      </w:r>
    </w:p>
    <w:p>
      <w:pPr>
        <w:pStyle w:val="TechnicalCode"/>
        <w:keepNext w:val="0"/>
        <w:spacing w:before="60" w:after="140"/>
        <w:shd w:fill="F4F6F9"/>
      </w:pPr>
      <w:r>
        <w:rPr>
          <w:rFonts w:ascii="DejaVu Sans Mono" w:hAnsi="DejaVu Sans Mono" w:eastAsia="DejaVu Sans Mono" w:cs="DejaVu Sans Mono"/>
        </w:rPr>
        <w:t>Dataset error rate = distinct current records with one or more quality issues / total current records * 100</w:t>
      </w:r>
    </w:p>
    <w:p>
      <w:pPr/>
      <w:r>
        <w:t>Multiple issues on one record count once in Error Rate but remain individually available through the paged issue API.</w:t>
      </w:r>
    </w:p>
    <w:p>
      <w:pPr>
        <w:pStyle w:val="Heading3"/>
        <w:keepNext/>
      </w:pPr>
      <w:r>
        <w:t>Overall and column scores</w:t>
      </w:r>
    </w:p>
    <w:p>
      <w:pPr>
        <w:pStyle w:val="TechnicalCode"/>
        <w:keepNext w:val="0"/>
        <w:spacing w:before="60" w:after="140"/>
        <w:shd w:fill="F4F6F9"/>
      </w:pPr>
      <w:r>
        <w:rPr>
          <w:rFonts w:ascii="DejaVu Sans Mono" w:hAnsi="DejaVu Sans Mono" w:eastAsia="DejaVu Sans Mono" w:cs="DejaVu Sans Mono"/>
        </w:rPr>
        <w:t>Overall = Completeness * 0.30 + Validity * 0.30 + Uniqueness * 0.20 + Consistency * 0.20</w:t>
      </w:r>
    </w:p>
    <w:p>
      <w:pPr/>
      <w:r>
        <w:t>Column scores use the same weights. When a dimension is not applicable (for example, uniqueness on a non-key column or completeness on an optional column), remaining weights are re-normalized. The persisted scoring version is 1.0.</w:t>
      </w:r>
    </w:p>
    <w:p>
      <w:pPr>
        <w:pStyle w:val="Heading2"/>
        <w:keepNext/>
      </w:pPr>
      <w:r>
        <w:t>Thresholds</w:t>
      </w:r>
    </w:p>
    <w:p>
      <w:pPr/>
      <w:r>
        <w:t>Dataset-specific thresholds override these fallback defaults:</w:t>
      </w:r>
    </w:p>
    <w:tbl>
      <w:tblPr>
        <w:tblW w:type="dxa" w:w="9360"/>
        <w:jc w:val="left"/>
        <w:tblLayout w:type="fixed"/>
        <w:tblLook w:firstColumn="1" w:firstRow="1" w:lastColumn="0" w:lastRow="0" w:noHBand="0" w:noVBand="1" w:val="04A0"/>
        <w:tblInd w:type="dxa" w:w="120"/>
        <w:tblBorders>
          <w:top w:val="single" w:sz="4" w:color="CDD7E2"/>
          <w:left w:val="single" w:sz="4" w:color="CDD7E2"/>
          <w:bottom w:val="single" w:sz="4" w:color="CDD7E2"/>
          <w:right w:val="single" w:sz="4" w:color="CDD7E2"/>
          <w:insideH w:val="single" w:sz="4" w:color="CDD7E2"/>
          <w:insideV w:val="single" w:sz="4" w:color="CDD7E2"/>
        </w:tblBorders>
      </w:tblPr>
      <w:tblGrid>
        <w:gridCol w:w="3600"/>
        <w:gridCol w:w="5760"/>
      </w:tblGrid>
      <w:tr>
        <w:trPr>
          <w:cantSplit/>
          <w:tblHeader/>
        </w:trPr>
        <w:tc>
          <w:tcPr>
            <w:tcW w:type="dxa" w:w="3600"/>
            <w:vAlign w:val="center"/>
            <w:shd w:fill="E8EEF5"/>
            <w:tcMar>
              <w:top w:w="80" w:type="dxa"/>
              <w:bottom w:w="80" w:type="dxa"/>
              <w:start w:w="120" w:type="dxa"/>
              <w:end w:w="120" w:type="dxa"/>
            </w:tcMar>
          </w:tcPr>
          <w:p>
            <w:pPr>
              <w:pStyle w:val="TechnicalTable"/>
            </w:pPr>
            <w:r>
              <w:rPr>
                <w:b/>
              </w:rPr>
              <w:t>Metric</w:t>
            </w:r>
          </w:p>
        </w:tc>
        <w:tc>
          <w:tcPr>
            <w:tcW w:type="dxa" w:w="5760"/>
            <w:vAlign w:val="center"/>
            <w:shd w:fill="E8EEF5"/>
            <w:tcMar>
              <w:top w:w="80" w:type="dxa"/>
              <w:bottom w:w="80" w:type="dxa"/>
              <w:start w:w="120" w:type="dxa"/>
              <w:end w:w="120" w:type="dxa"/>
            </w:tcMar>
          </w:tcPr>
          <w:p>
            <w:pPr>
              <w:pStyle w:val="TechnicalTable"/>
            </w:pPr>
            <w:r>
              <w:rPr>
                <w:b/>
              </w:rPr>
              <w:t>Default minimum</w:t>
            </w:r>
          </w:p>
        </w:tc>
      </w:tr>
      <w:tr>
        <w:trPr>
          <w:cantSplit/>
        </w:trPr>
        <w:tc>
          <w:tcPr>
            <w:tcW w:type="dxa" w:w="3600"/>
            <w:vAlign w:val="center"/>
            <w:tcMar>
              <w:top w:w="80" w:type="dxa"/>
              <w:bottom w:w="80" w:type="dxa"/>
              <w:start w:w="120" w:type="dxa"/>
              <w:end w:w="120" w:type="dxa"/>
            </w:tcMar>
          </w:tcPr>
          <w:p>
            <w:pPr>
              <w:pStyle w:val="TechnicalTable"/>
            </w:pPr>
            <w:r>
              <w:t>Completeness</w:t>
            </w:r>
          </w:p>
        </w:tc>
        <w:tc>
          <w:tcPr>
            <w:tcW w:type="dxa" w:w="5760"/>
            <w:vAlign w:val="center"/>
            <w:tcMar>
              <w:top w:w="80" w:type="dxa"/>
              <w:bottom w:w="80" w:type="dxa"/>
              <w:start w:w="120" w:type="dxa"/>
              <w:end w:w="120" w:type="dxa"/>
            </w:tcMar>
          </w:tcPr>
          <w:p>
            <w:pPr>
              <w:pStyle w:val="TechnicalTable"/>
            </w:pPr>
            <w:r>
              <w:t>90%</w:t>
            </w:r>
          </w:p>
        </w:tc>
      </w:tr>
      <w:tr>
        <w:trPr>
          <w:cantSplit/>
        </w:trPr>
        <w:tc>
          <w:tcPr>
            <w:tcW w:type="dxa" w:w="3600"/>
            <w:vAlign w:val="center"/>
            <w:tcMar>
              <w:top w:w="80" w:type="dxa"/>
              <w:bottom w:w="80" w:type="dxa"/>
              <w:start w:w="120" w:type="dxa"/>
              <w:end w:w="120" w:type="dxa"/>
            </w:tcMar>
          </w:tcPr>
          <w:p>
            <w:pPr>
              <w:pStyle w:val="TechnicalTable"/>
            </w:pPr>
            <w:r>
              <w:t>Validity</w:t>
            </w:r>
          </w:p>
        </w:tc>
        <w:tc>
          <w:tcPr>
            <w:tcW w:type="dxa" w:w="5760"/>
            <w:vAlign w:val="center"/>
            <w:tcMar>
              <w:top w:w="80" w:type="dxa"/>
              <w:bottom w:w="80" w:type="dxa"/>
              <w:start w:w="120" w:type="dxa"/>
              <w:end w:w="120" w:type="dxa"/>
            </w:tcMar>
          </w:tcPr>
          <w:p>
            <w:pPr>
              <w:pStyle w:val="TechnicalTable"/>
            </w:pPr>
            <w:r>
              <w:t>95%</w:t>
            </w:r>
          </w:p>
        </w:tc>
      </w:tr>
      <w:tr>
        <w:trPr>
          <w:cantSplit/>
        </w:trPr>
        <w:tc>
          <w:tcPr>
            <w:tcW w:type="dxa" w:w="3600"/>
            <w:vAlign w:val="center"/>
            <w:tcMar>
              <w:top w:w="80" w:type="dxa"/>
              <w:bottom w:w="80" w:type="dxa"/>
              <w:start w:w="120" w:type="dxa"/>
              <w:end w:w="120" w:type="dxa"/>
            </w:tcMar>
          </w:tcPr>
          <w:p>
            <w:pPr>
              <w:pStyle w:val="TechnicalTable"/>
            </w:pPr>
            <w:r>
              <w:t>Uniqueness</w:t>
            </w:r>
          </w:p>
        </w:tc>
        <w:tc>
          <w:tcPr>
            <w:tcW w:type="dxa" w:w="5760"/>
            <w:vAlign w:val="center"/>
            <w:tcMar>
              <w:top w:w="80" w:type="dxa"/>
              <w:bottom w:w="80" w:type="dxa"/>
              <w:start w:w="120" w:type="dxa"/>
              <w:end w:w="120" w:type="dxa"/>
            </w:tcMar>
          </w:tcPr>
          <w:p>
            <w:pPr>
              <w:pStyle w:val="TechnicalTable"/>
            </w:pPr>
            <w:r>
              <w:t>90%</w:t>
            </w:r>
          </w:p>
        </w:tc>
      </w:tr>
      <w:tr>
        <w:trPr>
          <w:cantSplit/>
        </w:trPr>
        <w:tc>
          <w:tcPr>
            <w:tcW w:type="dxa" w:w="3600"/>
            <w:vAlign w:val="center"/>
            <w:tcMar>
              <w:top w:w="80" w:type="dxa"/>
              <w:bottom w:w="80" w:type="dxa"/>
              <w:start w:w="120" w:type="dxa"/>
              <w:end w:w="120" w:type="dxa"/>
            </w:tcMar>
          </w:tcPr>
          <w:p>
            <w:pPr>
              <w:pStyle w:val="TechnicalTable"/>
            </w:pPr>
            <w:r>
              <w:t>Consistency</w:t>
            </w:r>
          </w:p>
        </w:tc>
        <w:tc>
          <w:tcPr>
            <w:tcW w:type="dxa" w:w="5760"/>
            <w:vAlign w:val="center"/>
            <w:tcMar>
              <w:top w:w="80" w:type="dxa"/>
              <w:bottom w:w="80" w:type="dxa"/>
              <w:start w:w="120" w:type="dxa"/>
              <w:end w:w="120" w:type="dxa"/>
            </w:tcMar>
          </w:tcPr>
          <w:p>
            <w:pPr>
              <w:pStyle w:val="TechnicalTable"/>
            </w:pPr>
            <w:r>
              <w:t>90%</w:t>
            </w:r>
          </w:p>
        </w:tc>
      </w:tr>
      <w:tr>
        <w:trPr>
          <w:cantSplit/>
        </w:trPr>
        <w:tc>
          <w:tcPr>
            <w:tcW w:type="dxa" w:w="3600"/>
            <w:vAlign w:val="center"/>
            <w:tcMar>
              <w:top w:w="80" w:type="dxa"/>
              <w:bottom w:w="80" w:type="dxa"/>
              <w:start w:w="120" w:type="dxa"/>
              <w:end w:w="120" w:type="dxa"/>
            </w:tcMar>
          </w:tcPr>
          <w:p>
            <w:pPr>
              <w:pStyle w:val="TechnicalTable"/>
            </w:pPr>
            <w:r>
              <w:t>Overall quality score</w:t>
            </w:r>
          </w:p>
        </w:tc>
        <w:tc>
          <w:tcPr>
            <w:tcW w:type="dxa" w:w="5760"/>
            <w:vAlign w:val="center"/>
            <w:tcMar>
              <w:top w:w="80" w:type="dxa"/>
              <w:bottom w:w="80" w:type="dxa"/>
              <w:start w:w="120" w:type="dxa"/>
              <w:end w:w="120" w:type="dxa"/>
            </w:tcMar>
          </w:tcPr>
          <w:p>
            <w:pPr>
              <w:pStyle w:val="TechnicalTable"/>
            </w:pPr>
            <w:r>
              <w:t>90%</w:t>
            </w:r>
          </w:p>
        </w:tc>
      </w:tr>
    </w:tbl>
    <w:p>
      <w:pPr>
        <w:pStyle w:val="SourceNote"/>
        <w:spacing w:before="0" w:after="60" w:line="60" w:lineRule="exact"/>
      </w:pPr>
    </w:p>
    <w:p>
      <w:pPr/>
      <w:r>
        <w:t>A non-empty profile passes only when every applicable dimension and the overall score meet their applied thresholds. Empty datasets produce a completed profile with zero records, N/A dimensions/overall score, and threshold status N/A. Applied thresholds are copied to the ProfileRun so historical results remain reproducible after configuration changes.</w:t>
      </w:r>
    </w:p>
    <w:p>
      <w:pPr>
        <w:pStyle w:val="Heading2"/>
        <w:keepNext/>
      </w:pPr>
      <w:r>
        <w:t>Issue categories</w:t>
      </w:r>
    </w:p>
    <w:p>
      <w:pPr>
        <w:pStyle w:val="ListBullet"/>
        <w:numPr>
          <w:ilvl w:val="0"/>
          <w:numId w:val="10"/>
        </w:numPr>
      </w:pPr>
      <w:r>
        <w:t>Missing Value</w:t>
      </w:r>
    </w:p>
    <w:p>
      <w:pPr>
        <w:pStyle w:val="ListBullet"/>
        <w:numPr>
          <w:ilvl w:val="0"/>
          <w:numId w:val="10"/>
        </w:numPr>
      </w:pPr>
      <w:r>
        <w:t>Invalid Data Type</w:t>
      </w:r>
    </w:p>
    <w:p>
      <w:pPr>
        <w:pStyle w:val="ListBullet"/>
        <w:numPr>
          <w:ilvl w:val="0"/>
          <w:numId w:val="10"/>
        </w:numPr>
      </w:pPr>
      <w:r>
        <w:t>Duplicate Value</w:t>
      </w:r>
    </w:p>
    <w:p>
      <w:pPr>
        <w:pStyle w:val="ListBullet"/>
        <w:numPr>
          <w:ilvl w:val="0"/>
          <w:numId w:val="10"/>
        </w:numPr>
      </w:pPr>
      <w:r>
        <w:t>Invalid Format</w:t>
      </w:r>
    </w:p>
    <w:p>
      <w:pPr>
        <w:pStyle w:val="ListBullet"/>
        <w:numPr>
          <w:ilvl w:val="0"/>
          <w:numId w:val="10"/>
        </w:numPr>
      </w:pPr>
      <w:r>
        <w:t>Validation Failure</w:t>
      </w:r>
    </w:p>
    <w:p>
      <w:pPr>
        <w:pStyle w:val="ListBullet"/>
        <w:numPr>
          <w:ilvl w:val="0"/>
          <w:numId w:val="10"/>
        </w:numPr>
      </w:pPr>
      <w:r>
        <w:t>Unexpected Value</w:t>
      </w:r>
    </w:p>
    <w:p>
      <w:pPr/>
      <w:r>
        <w:t>Detailed issues include record/column identifiers, rule, message, invalid value, and timestamp. Only roles with quality.issues.view can retrieve them.</w:t>
      </w:r>
    </w:p>
    <w:p>
      <w:pPr>
        <w:pStyle w:val="Heading2"/>
        <w:keepNext/>
      </w:pPr>
      <w:r>
        <w:t>APIs</w:t>
      </w:r>
    </w:p>
    <w:tbl>
      <w:tblPr>
        <w:tblW w:type="dxa" w:w="9360"/>
        <w:jc w:val="left"/>
        <w:tblLayout w:type="fixed"/>
        <w:tblLook w:firstColumn="1" w:firstRow="1" w:lastColumn="0" w:lastRow="0" w:noHBand="0" w:noVBand="1" w:val="04A0"/>
        <w:tblInd w:type="dxa" w:w="120"/>
        <w:tblBorders>
          <w:top w:val="single" w:sz="4" w:color="CDD7E2"/>
          <w:left w:val="single" w:sz="4" w:color="CDD7E2"/>
          <w:bottom w:val="single" w:sz="4" w:color="CDD7E2"/>
          <w:right w:val="single" w:sz="4" w:color="CDD7E2"/>
          <w:insideH w:val="single" w:sz="4" w:color="CDD7E2"/>
          <w:insideV w:val="single" w:sz="4" w:color="CDD7E2"/>
        </w:tblBorders>
      </w:tblPr>
      <w:tblGrid>
        <w:gridCol w:w="5300"/>
        <w:gridCol w:w="4060"/>
      </w:tblGrid>
      <w:tr>
        <w:trPr>
          <w:cantSplit/>
          <w:tblHeader/>
        </w:trPr>
        <w:tc>
          <w:tcPr>
            <w:tcW w:type="dxa" w:w="5300"/>
            <w:vAlign w:val="center"/>
            <w:shd w:fill="E8EEF5"/>
            <w:tcMar>
              <w:top w:w="80" w:type="dxa"/>
              <w:bottom w:w="80" w:type="dxa"/>
              <w:start w:w="120" w:type="dxa"/>
              <w:end w:w="120" w:type="dxa"/>
            </w:tcMar>
          </w:tcPr>
          <w:p>
            <w:pPr>
              <w:pStyle w:val="TechnicalTable"/>
            </w:pPr>
            <w:r>
              <w:rPr>
                <w:b/>
              </w:rPr>
              <w:t>Method / route</w:t>
            </w:r>
          </w:p>
        </w:tc>
        <w:tc>
          <w:tcPr>
            <w:tcW w:type="dxa" w:w="4060"/>
            <w:vAlign w:val="center"/>
            <w:shd w:fill="E8EEF5"/>
            <w:tcMar>
              <w:top w:w="80" w:type="dxa"/>
              <w:bottom w:w="80" w:type="dxa"/>
              <w:start w:w="120" w:type="dxa"/>
              <w:end w:w="120" w:type="dxa"/>
            </w:tcMar>
          </w:tcPr>
          <w:p>
            <w:pPr>
              <w:pStyle w:val="TechnicalTable"/>
            </w:pPr>
            <w:r>
              <w:rPr>
                <w:b/>
              </w:rPr>
              <w:t>Permission / purpose</w:t>
            </w:r>
          </w:p>
        </w:tc>
      </w:tr>
      <w:tr>
        <w:trPr>
          <w:cantSplit/>
        </w:trPr>
        <w:tc>
          <w:tcPr>
            <w:tcW w:type="dxa" w:w="5300"/>
            <w:vAlign w:val="center"/>
            <w:tcMar>
              <w:top w:w="80" w:type="dxa"/>
              <w:bottom w:w="80" w:type="dxa"/>
              <w:start w:w="120" w:type="dxa"/>
              <w:end w:w="120" w:type="dxa"/>
            </w:tcMar>
          </w:tcPr>
          <w:p>
            <w:pPr>
              <w:pStyle w:val="TechnicalTable"/>
            </w:pPr>
            <w:r>
              <w:t>POST /api/datasets/{datasetId}/quality-profiles</w:t>
            </w:r>
          </w:p>
        </w:tc>
        <w:tc>
          <w:tcPr>
            <w:tcW w:type="dxa" w:w="4060"/>
            <w:vAlign w:val="center"/>
            <w:tcMar>
              <w:top w:w="80" w:type="dxa"/>
              <w:bottom w:w="80" w:type="dxa"/>
              <w:start w:w="120" w:type="dxa"/>
              <w:end w:w="120" w:type="dxa"/>
            </w:tcMar>
          </w:tcPr>
          <w:p>
            <w:pPr>
              <w:pStyle w:val="TechnicalTable"/>
            </w:pPr>
            <w:r>
              <w:t>quality.profiles.run</w:t>
              <w:br/>
              <w:t>Queue manual profile</w:t>
            </w:r>
          </w:p>
        </w:tc>
      </w:tr>
      <w:tr>
        <w:trPr>
          <w:cantSplit/>
        </w:trPr>
        <w:tc>
          <w:tcPr>
            <w:tcW w:type="dxa" w:w="5300"/>
            <w:vAlign w:val="center"/>
            <w:tcMar>
              <w:top w:w="80" w:type="dxa"/>
              <w:bottom w:w="80" w:type="dxa"/>
              <w:start w:w="120" w:type="dxa"/>
              <w:end w:w="120" w:type="dxa"/>
            </w:tcMar>
          </w:tcPr>
          <w:p>
            <w:pPr>
              <w:pStyle w:val="TechnicalTable"/>
            </w:pPr>
            <w:r>
              <w:t>GET /api/quality-profiles/{profileRunId}</w:t>
            </w:r>
          </w:p>
        </w:tc>
        <w:tc>
          <w:tcPr>
            <w:tcW w:type="dxa" w:w="4060"/>
            <w:vAlign w:val="center"/>
            <w:tcMar>
              <w:top w:w="80" w:type="dxa"/>
              <w:bottom w:w="80" w:type="dxa"/>
              <w:start w:w="120" w:type="dxa"/>
              <w:end w:w="120" w:type="dxa"/>
            </w:tcMar>
          </w:tcPr>
          <w:p>
            <w:pPr>
              <w:pStyle w:val="TechnicalTable"/>
            </w:pPr>
            <w:r>
              <w:t>quality.profiles.view</w:t>
              <w:br/>
              <w:t>Profile status/result</w:t>
            </w:r>
          </w:p>
        </w:tc>
      </w:tr>
      <w:tr>
        <w:trPr>
          <w:cantSplit/>
        </w:trPr>
        <w:tc>
          <w:tcPr>
            <w:tcW w:type="dxa" w:w="5300"/>
            <w:vAlign w:val="center"/>
            <w:tcMar>
              <w:top w:w="80" w:type="dxa"/>
              <w:bottom w:w="80" w:type="dxa"/>
              <w:start w:w="120" w:type="dxa"/>
              <w:end w:w="120" w:type="dxa"/>
            </w:tcMar>
          </w:tcPr>
          <w:p>
            <w:pPr>
              <w:pStyle w:val="TechnicalTable"/>
            </w:pPr>
            <w:r>
              <w:t>POST /api/quality-profiles/{profileRunId}/cancel</w:t>
            </w:r>
          </w:p>
        </w:tc>
        <w:tc>
          <w:tcPr>
            <w:tcW w:type="dxa" w:w="4060"/>
            <w:vAlign w:val="center"/>
            <w:tcMar>
              <w:top w:w="80" w:type="dxa"/>
              <w:bottom w:w="80" w:type="dxa"/>
              <w:start w:w="120" w:type="dxa"/>
              <w:end w:w="120" w:type="dxa"/>
            </w:tcMar>
          </w:tcPr>
          <w:p>
            <w:pPr>
              <w:pStyle w:val="TechnicalTable"/>
            </w:pPr>
            <w:r>
              <w:t>quality.profiles.run</w:t>
              <w:br/>
              <w:t>Cancel active profile</w:t>
            </w:r>
          </w:p>
        </w:tc>
      </w:tr>
      <w:tr>
        <w:trPr>
          <w:cantSplit/>
        </w:trPr>
        <w:tc>
          <w:tcPr>
            <w:tcW w:type="dxa" w:w="5300"/>
            <w:vAlign w:val="center"/>
            <w:tcMar>
              <w:top w:w="80" w:type="dxa"/>
              <w:bottom w:w="80" w:type="dxa"/>
              <w:start w:w="120" w:type="dxa"/>
              <w:end w:w="120" w:type="dxa"/>
            </w:tcMar>
          </w:tcPr>
          <w:p>
            <w:pPr>
              <w:pStyle w:val="TechnicalTable"/>
            </w:pPr>
            <w:r>
              <w:t>GET /api/datasets/{datasetId}/quality-profiles/latest</w:t>
            </w:r>
          </w:p>
        </w:tc>
        <w:tc>
          <w:tcPr>
            <w:tcW w:type="dxa" w:w="4060"/>
            <w:vAlign w:val="center"/>
            <w:tcMar>
              <w:top w:w="80" w:type="dxa"/>
              <w:bottom w:w="80" w:type="dxa"/>
              <w:start w:w="120" w:type="dxa"/>
              <w:end w:w="120" w:type="dxa"/>
            </w:tcMar>
          </w:tcPr>
          <w:p>
            <w:pPr>
              <w:pStyle w:val="TechnicalTable"/>
            </w:pPr>
            <w:r>
              <w:t>quality.profiles.view</w:t>
              <w:br/>
              <w:t>Latest completed profile</w:t>
            </w:r>
          </w:p>
        </w:tc>
      </w:tr>
      <w:tr>
        <w:trPr>
          <w:cantSplit/>
        </w:trPr>
        <w:tc>
          <w:tcPr>
            <w:tcW w:type="dxa" w:w="5300"/>
            <w:vAlign w:val="center"/>
            <w:tcMar>
              <w:top w:w="80" w:type="dxa"/>
              <w:bottom w:w="80" w:type="dxa"/>
              <w:start w:w="120" w:type="dxa"/>
              <w:end w:w="120" w:type="dxa"/>
            </w:tcMar>
          </w:tcPr>
          <w:p>
            <w:pPr>
              <w:pStyle w:val="TechnicalTable"/>
            </w:pPr>
            <w:r>
              <w:t>GET /api/datasets/{datasetId}/quality-profiles</w:t>
            </w:r>
          </w:p>
        </w:tc>
        <w:tc>
          <w:tcPr>
            <w:tcW w:type="dxa" w:w="4060"/>
            <w:vAlign w:val="center"/>
            <w:tcMar>
              <w:top w:w="80" w:type="dxa"/>
              <w:bottom w:w="80" w:type="dxa"/>
              <w:start w:w="120" w:type="dxa"/>
              <w:end w:w="120" w:type="dxa"/>
            </w:tcMar>
          </w:tcPr>
          <w:p>
            <w:pPr>
              <w:pStyle w:val="TechnicalTable"/>
            </w:pPr>
            <w:r>
              <w:t>quality.profiles.view</w:t>
              <w:br/>
              <w:t>Paged history, optional ImportId</w:t>
            </w:r>
          </w:p>
        </w:tc>
      </w:tr>
      <w:tr>
        <w:trPr>
          <w:cantSplit/>
        </w:trPr>
        <w:tc>
          <w:tcPr>
            <w:tcW w:type="dxa" w:w="5300"/>
            <w:vAlign w:val="center"/>
            <w:tcMar>
              <w:top w:w="80" w:type="dxa"/>
              <w:bottom w:w="80" w:type="dxa"/>
              <w:start w:w="120" w:type="dxa"/>
              <w:end w:w="120" w:type="dxa"/>
            </w:tcMar>
          </w:tcPr>
          <w:p>
            <w:pPr>
              <w:pStyle w:val="TechnicalTable"/>
            </w:pPr>
            <w:r>
              <w:t>GET /api/datasets/{datasetId}/quality-score</w:t>
            </w:r>
          </w:p>
        </w:tc>
        <w:tc>
          <w:tcPr>
            <w:tcW w:type="dxa" w:w="4060"/>
            <w:vAlign w:val="center"/>
            <w:tcMar>
              <w:top w:w="80" w:type="dxa"/>
              <w:bottom w:w="80" w:type="dxa"/>
              <w:start w:w="120" w:type="dxa"/>
              <w:end w:w="120" w:type="dxa"/>
            </w:tcMar>
          </w:tcPr>
          <w:p>
            <w:pPr>
              <w:pStyle w:val="TechnicalTable"/>
            </w:pPr>
            <w:r>
              <w:t>quality.profiles.view</w:t>
              <w:br/>
              <w:t>Latest dashboard-ready score</w:t>
            </w:r>
          </w:p>
        </w:tc>
      </w:tr>
      <w:tr>
        <w:trPr>
          <w:cantSplit/>
        </w:trPr>
        <w:tc>
          <w:tcPr>
            <w:tcW w:type="dxa" w:w="5300"/>
            <w:vAlign w:val="center"/>
            <w:tcMar>
              <w:top w:w="80" w:type="dxa"/>
              <w:bottom w:w="80" w:type="dxa"/>
              <w:start w:w="120" w:type="dxa"/>
              <w:end w:w="120" w:type="dxa"/>
            </w:tcMar>
          </w:tcPr>
          <w:p>
            <w:pPr>
              <w:pStyle w:val="TechnicalTable"/>
            </w:pPr>
            <w:r>
              <w:t>GET /api/quality-profiles/{profileRunId}/columns</w:t>
            </w:r>
          </w:p>
        </w:tc>
        <w:tc>
          <w:tcPr>
            <w:tcW w:type="dxa" w:w="4060"/>
            <w:vAlign w:val="center"/>
            <w:tcMar>
              <w:top w:w="80" w:type="dxa"/>
              <w:bottom w:w="80" w:type="dxa"/>
              <w:start w:w="120" w:type="dxa"/>
              <w:end w:w="120" w:type="dxa"/>
            </w:tcMar>
          </w:tcPr>
          <w:p>
            <w:pPr>
              <w:pStyle w:val="TechnicalTable"/>
            </w:pPr>
            <w:r>
              <w:t>quality.profiles.view</w:t>
              <w:br/>
              <w:t>Column metrics</w:t>
            </w:r>
          </w:p>
        </w:tc>
      </w:tr>
      <w:tr>
        <w:trPr>
          <w:cantSplit/>
        </w:trPr>
        <w:tc>
          <w:tcPr>
            <w:tcW w:type="dxa" w:w="5300"/>
            <w:vAlign w:val="center"/>
            <w:tcMar>
              <w:top w:w="80" w:type="dxa"/>
              <w:bottom w:w="80" w:type="dxa"/>
              <w:start w:w="120" w:type="dxa"/>
              <w:end w:w="120" w:type="dxa"/>
            </w:tcMar>
          </w:tcPr>
          <w:p>
            <w:pPr>
              <w:pStyle w:val="TechnicalTable"/>
            </w:pPr>
            <w:r>
              <w:t>GET /api/quality-profiles/{profileRunId}/issues</w:t>
            </w:r>
          </w:p>
        </w:tc>
        <w:tc>
          <w:tcPr>
            <w:tcW w:type="dxa" w:w="4060"/>
            <w:vAlign w:val="center"/>
            <w:tcMar>
              <w:top w:w="80" w:type="dxa"/>
              <w:bottom w:w="80" w:type="dxa"/>
              <w:start w:w="120" w:type="dxa"/>
              <w:end w:w="120" w:type="dxa"/>
            </w:tcMar>
          </w:tcPr>
          <w:p>
            <w:pPr>
              <w:pStyle w:val="TechnicalTable"/>
            </w:pPr>
            <w:r>
              <w:t>quality.issues.view</w:t>
              <w:br/>
              <w:t>Paged detailed issues</w:t>
            </w:r>
          </w:p>
        </w:tc>
      </w:tr>
      <w:tr>
        <w:trPr>
          <w:cantSplit/>
        </w:trPr>
        <w:tc>
          <w:tcPr>
            <w:tcW w:type="dxa" w:w="5300"/>
            <w:vAlign w:val="center"/>
            <w:tcMar>
              <w:top w:w="80" w:type="dxa"/>
              <w:bottom w:w="80" w:type="dxa"/>
              <w:start w:w="120" w:type="dxa"/>
              <w:end w:w="120" w:type="dxa"/>
            </w:tcMar>
          </w:tcPr>
          <w:p>
            <w:pPr>
              <w:pStyle w:val="TechnicalTable"/>
            </w:pPr>
            <w:r>
              <w:t>GET /api/datasets/{datasetId}/quality-issues</w:t>
            </w:r>
          </w:p>
        </w:tc>
        <w:tc>
          <w:tcPr>
            <w:tcW w:type="dxa" w:w="4060"/>
            <w:vAlign w:val="center"/>
            <w:tcMar>
              <w:top w:w="80" w:type="dxa"/>
              <w:bottom w:w="80" w:type="dxa"/>
              <w:start w:w="120" w:type="dxa"/>
              <w:end w:w="120" w:type="dxa"/>
            </w:tcMar>
          </w:tcPr>
          <w:p>
            <w:pPr>
              <w:pStyle w:val="TechnicalTable"/>
            </w:pPr>
            <w:r>
              <w:t>quality.issues.view</w:t>
              <w:br/>
              <w:t>Dataset/import issue search</w:t>
            </w:r>
          </w:p>
        </w:tc>
      </w:tr>
      <w:tr>
        <w:trPr>
          <w:cantSplit/>
        </w:trPr>
        <w:tc>
          <w:tcPr>
            <w:tcW w:type="dxa" w:w="5300"/>
            <w:vAlign w:val="center"/>
            <w:tcMar>
              <w:top w:w="80" w:type="dxa"/>
              <w:bottom w:w="80" w:type="dxa"/>
              <w:start w:w="120" w:type="dxa"/>
              <w:end w:w="120" w:type="dxa"/>
            </w:tcMar>
          </w:tcPr>
          <w:p>
            <w:pPr>
              <w:pStyle w:val="TechnicalTable"/>
            </w:pPr>
            <w:r>
              <w:t>GET /api/datasets/{datasetId}/quality-trend</w:t>
            </w:r>
          </w:p>
        </w:tc>
        <w:tc>
          <w:tcPr>
            <w:tcW w:type="dxa" w:w="4060"/>
            <w:vAlign w:val="center"/>
            <w:tcMar>
              <w:top w:w="80" w:type="dxa"/>
              <w:bottom w:w="80" w:type="dxa"/>
              <w:start w:w="120" w:type="dxa"/>
              <w:end w:w="120" w:type="dxa"/>
            </w:tcMar>
          </w:tcPr>
          <w:p>
            <w:pPr>
              <w:pStyle w:val="TechnicalTable"/>
            </w:pPr>
            <w:r>
              <w:t>quality.profiles.view</w:t>
              <w:br/>
              <w:t>Historical trend</w:t>
            </w:r>
          </w:p>
        </w:tc>
      </w:tr>
      <w:tr>
        <w:trPr>
          <w:cantSplit/>
        </w:trPr>
        <w:tc>
          <w:tcPr>
            <w:tcW w:type="dxa" w:w="5300"/>
            <w:vAlign w:val="center"/>
            <w:tcMar>
              <w:top w:w="80" w:type="dxa"/>
              <w:bottom w:w="80" w:type="dxa"/>
              <w:start w:w="120" w:type="dxa"/>
              <w:end w:w="120" w:type="dxa"/>
            </w:tcMar>
          </w:tcPr>
          <w:p>
            <w:pPr>
              <w:pStyle w:val="TechnicalTable"/>
            </w:pPr>
            <w:r>
              <w:t>GET /api/datasets/{datasetId}/quality-comparison</w:t>
            </w:r>
          </w:p>
        </w:tc>
        <w:tc>
          <w:tcPr>
            <w:tcW w:type="dxa" w:w="4060"/>
            <w:vAlign w:val="center"/>
            <w:tcMar>
              <w:top w:w="80" w:type="dxa"/>
              <w:bottom w:w="80" w:type="dxa"/>
              <w:start w:w="120" w:type="dxa"/>
              <w:end w:w="120" w:type="dxa"/>
            </w:tcMar>
          </w:tcPr>
          <w:p>
            <w:pPr>
              <w:pStyle w:val="TechnicalTable"/>
            </w:pPr>
            <w:r>
              <w:t>quality.profiles.view</w:t>
              <w:br/>
              <w:t>Compare two completed runs</w:t>
            </w:r>
          </w:p>
        </w:tc>
      </w:tr>
      <w:tr>
        <w:trPr>
          <w:cantSplit/>
        </w:trPr>
        <w:tc>
          <w:tcPr>
            <w:tcW w:type="dxa" w:w="5300"/>
            <w:vAlign w:val="center"/>
            <w:tcMar>
              <w:top w:w="80" w:type="dxa"/>
              <w:bottom w:w="80" w:type="dxa"/>
              <w:start w:w="120" w:type="dxa"/>
              <w:end w:w="120" w:type="dxa"/>
            </w:tcMar>
          </w:tcPr>
          <w:p>
            <w:pPr>
              <w:pStyle w:val="TechnicalTable"/>
            </w:pPr>
            <w:r>
              <w:t>GET /api/datasets/{datasetId}/quality-dashboard</w:t>
            </w:r>
          </w:p>
        </w:tc>
        <w:tc>
          <w:tcPr>
            <w:tcW w:type="dxa" w:w="4060"/>
            <w:vAlign w:val="center"/>
            <w:tcMar>
              <w:top w:w="80" w:type="dxa"/>
              <w:bottom w:w="80" w:type="dxa"/>
              <w:start w:w="120" w:type="dxa"/>
              <w:end w:w="120" w:type="dxa"/>
            </w:tcMar>
          </w:tcPr>
          <w:p>
            <w:pPr>
              <w:pStyle w:val="TechnicalTable"/>
            </w:pPr>
            <w:r>
              <w:t>quality.profiles.view</w:t>
              <w:br/>
              <w:t>Score, columns, top issues, trend, failures</w:t>
            </w:r>
          </w:p>
        </w:tc>
      </w:tr>
      <w:tr>
        <w:trPr>
          <w:cantSplit/>
        </w:trPr>
        <w:tc>
          <w:tcPr>
            <w:tcW w:type="dxa" w:w="5300"/>
            <w:vAlign w:val="center"/>
            <w:tcMar>
              <w:top w:w="80" w:type="dxa"/>
              <w:bottom w:w="80" w:type="dxa"/>
              <w:start w:w="120" w:type="dxa"/>
              <w:end w:w="120" w:type="dxa"/>
            </w:tcMar>
          </w:tcPr>
          <w:p>
            <w:pPr>
              <w:pStyle w:val="TechnicalTable"/>
            </w:pPr>
            <w:r>
              <w:t>GET /api/datasets/{datasetId}/quality-thresholds</w:t>
            </w:r>
          </w:p>
        </w:tc>
        <w:tc>
          <w:tcPr>
            <w:tcW w:type="dxa" w:w="4060"/>
            <w:vAlign w:val="center"/>
            <w:tcMar>
              <w:top w:w="80" w:type="dxa"/>
              <w:bottom w:w="80" w:type="dxa"/>
              <w:start w:w="120" w:type="dxa"/>
              <w:end w:w="120" w:type="dxa"/>
            </w:tcMar>
          </w:tcPr>
          <w:p>
            <w:pPr>
              <w:pStyle w:val="TechnicalTable"/>
            </w:pPr>
            <w:r>
              <w:t>quality.profiles.view</w:t>
              <w:br/>
              <w:t>Effective thresholds</w:t>
            </w:r>
          </w:p>
        </w:tc>
      </w:tr>
      <w:tr>
        <w:trPr>
          <w:cantSplit/>
        </w:trPr>
        <w:tc>
          <w:tcPr>
            <w:tcW w:type="dxa" w:w="5300"/>
            <w:vAlign w:val="center"/>
            <w:tcMar>
              <w:top w:w="80" w:type="dxa"/>
              <w:bottom w:w="80" w:type="dxa"/>
              <w:start w:w="120" w:type="dxa"/>
              <w:end w:w="120" w:type="dxa"/>
            </w:tcMar>
          </w:tcPr>
          <w:p>
            <w:pPr>
              <w:pStyle w:val="TechnicalTable"/>
            </w:pPr>
            <w:r>
              <w:t>PUT /api/datasets/{datasetId}/quality-thresholds</w:t>
            </w:r>
          </w:p>
        </w:tc>
        <w:tc>
          <w:tcPr>
            <w:tcW w:type="dxa" w:w="4060"/>
            <w:vAlign w:val="center"/>
            <w:tcMar>
              <w:top w:w="80" w:type="dxa"/>
              <w:bottom w:w="80" w:type="dxa"/>
              <w:start w:w="120" w:type="dxa"/>
              <w:end w:w="120" w:type="dxa"/>
            </w:tcMar>
          </w:tcPr>
          <w:p>
            <w:pPr>
              <w:pStyle w:val="TechnicalTable"/>
            </w:pPr>
            <w:r>
              <w:t>quality.thresholds.manage</w:t>
              <w:br/>
              <w:t>Create/update dataset thresholds</w:t>
            </w:r>
          </w:p>
        </w:tc>
      </w:tr>
      <w:tr>
        <w:trPr>
          <w:cantSplit/>
        </w:trPr>
        <w:tc>
          <w:tcPr>
            <w:tcW w:type="dxa" w:w="5300"/>
            <w:vAlign w:val="center"/>
            <w:tcMar>
              <w:top w:w="80" w:type="dxa"/>
              <w:bottom w:w="80" w:type="dxa"/>
              <w:start w:w="120" w:type="dxa"/>
              <w:end w:w="120" w:type="dxa"/>
            </w:tcMar>
          </w:tcPr>
          <w:p>
            <w:pPr>
              <w:pStyle w:val="TechnicalTable"/>
            </w:pPr>
            <w:r>
              <w:t>DELETE /api/datasets/{datasetId}/quality-thresholds</w:t>
            </w:r>
          </w:p>
        </w:tc>
        <w:tc>
          <w:tcPr>
            <w:tcW w:type="dxa" w:w="4060"/>
            <w:vAlign w:val="center"/>
            <w:tcMar>
              <w:top w:w="80" w:type="dxa"/>
              <w:bottom w:w="80" w:type="dxa"/>
              <w:start w:w="120" w:type="dxa"/>
              <w:end w:w="120" w:type="dxa"/>
            </w:tcMar>
          </w:tcPr>
          <w:p>
            <w:pPr>
              <w:pStyle w:val="TechnicalTable"/>
            </w:pPr>
            <w:r>
              <w:t>quality.thresholds.manage</w:t>
              <w:br/>
              <w:t>Revert to defaults</w:t>
            </w:r>
          </w:p>
        </w:tc>
      </w:tr>
    </w:tbl>
    <w:p>
      <w:pPr>
        <w:pStyle w:val="SourceNote"/>
        <w:spacing w:before="0" w:after="60" w:line="60" w:lineRule="exact"/>
      </w:pPr>
    </w:p>
    <w:p>
      <w:pPr/>
      <w:r>
        <w:t>Comparison query parameters are leftProfileRunId and rightProfileRunId. History, issues, trend, and dashboard limits are bounded server-side.</w:t>
      </w:r>
    </w:p>
    <w:p>
      <w:pPr>
        <w:pStyle w:val="SourceNote"/>
      </w:pPr>
      <w:r>
        <w:t>The profiler uses the active or pinned transformation and validation configuration as described above. The supplied sources do not include a separate transformation API reference; no additional transformation endpoints are inferred in this consolidated guide.</w:t>
      </w:r>
    </w:p>
    <w:p>
      <w:pPr>
        <w:pStyle w:val="Heading1"/>
        <w:keepNext/>
      </w:pPr>
      <w:r>
        <w:t>Analytics dashboard APIs and reporting</w:t>
      </w:r>
    </w:p>
    <w:p>
      <w:pPr>
        <w:pStyle w:val="Heading2"/>
        <w:keepNext/>
      </w:pPr>
      <w:r>
        <w:t>Scope and read architecture</w:t>
      </w:r>
    </w:p>
    <w:p>
      <w:pPr/>
      <w:r>
        <w:t>The analytics and reporting module builds on the existing .NET 8 / EF Core / SQL Server platform. It does not introduce a frontend, a second ingestion pipeline, new dataset ACLs, report-definition storage, scheduled reports, or copies of dataset/profile records.</w:t>
      </w:r>
    </w:p>
    <w:p>
      <w:pPr/>
      <w:r>
        <w:t>Request flow: existing JWT authentication → existing role permissions → analytics authorization policy → validated workspace/dataset scope → projected SQL queries → standardized response or bounded report → CSV/XLSX export.</w:t>
      </w:r>
    </w:p>
    <w:p>
      <w:pPr/>
      <w:r>
        <w:t>Key components:</w:t>
      </w:r>
    </w:p>
    <w:tbl>
      <w:tblPr>
        <w:tblW w:type="dxa" w:w="9360"/>
        <w:jc w:val="left"/>
        <w:tblLayout w:type="fixed"/>
        <w:tblLook w:firstColumn="1" w:firstRow="1" w:lastColumn="0" w:lastRow="0" w:noHBand="0" w:noVBand="1" w:val="04A0"/>
        <w:tblInd w:type="dxa" w:w="120"/>
        <w:tblBorders>
          <w:top w:val="single" w:sz="4" w:color="CDD7E2"/>
          <w:left w:val="single" w:sz="4" w:color="CDD7E2"/>
          <w:bottom w:val="single" w:sz="4" w:color="CDD7E2"/>
          <w:right w:val="single" w:sz="4" w:color="CDD7E2"/>
          <w:insideH w:val="single" w:sz="4" w:color="CDD7E2"/>
          <w:insideV w:val="single" w:sz="4" w:color="CDD7E2"/>
        </w:tblBorders>
      </w:tblPr>
      <w:tblGrid>
        <w:gridCol w:w="3600"/>
        <w:gridCol w:w="5760"/>
      </w:tblGrid>
      <w:tr>
        <w:trPr>
          <w:cantSplit/>
          <w:tblHeader/>
        </w:trPr>
        <w:tc>
          <w:tcPr>
            <w:tcW w:type="dxa" w:w="3600"/>
            <w:vAlign w:val="center"/>
            <w:shd w:fill="E8EEF5"/>
            <w:tcMar>
              <w:top w:w="80" w:type="dxa"/>
              <w:bottom w:w="80" w:type="dxa"/>
              <w:start w:w="120" w:type="dxa"/>
              <w:end w:w="120" w:type="dxa"/>
            </w:tcMar>
          </w:tcPr>
          <w:p>
            <w:pPr>
              <w:pStyle w:val="TechnicalTable"/>
            </w:pPr>
            <w:r>
              <w:rPr>
                <w:b/>
              </w:rPr>
              <w:t>Component</w:t>
            </w:r>
          </w:p>
        </w:tc>
        <w:tc>
          <w:tcPr>
            <w:tcW w:type="dxa" w:w="5760"/>
            <w:vAlign w:val="center"/>
            <w:shd w:fill="E8EEF5"/>
            <w:tcMar>
              <w:top w:w="80" w:type="dxa"/>
              <w:bottom w:w="80" w:type="dxa"/>
              <w:start w:w="120" w:type="dxa"/>
              <w:end w:w="120" w:type="dxa"/>
            </w:tcMar>
          </w:tcPr>
          <w:p>
            <w:pPr>
              <w:pStyle w:val="TechnicalTable"/>
            </w:pPr>
            <w:r>
              <w:rPr>
                <w:b/>
              </w:rPr>
              <w:t>Responsibility</w:t>
            </w:r>
          </w:p>
        </w:tc>
      </w:tr>
      <w:tr>
        <w:trPr>
          <w:cantSplit/>
        </w:trPr>
        <w:tc>
          <w:tcPr>
            <w:tcW w:type="dxa" w:w="3600"/>
            <w:vAlign w:val="center"/>
            <w:tcMar>
              <w:top w:w="80" w:type="dxa"/>
              <w:bottom w:w="80" w:type="dxa"/>
              <w:start w:w="120" w:type="dxa"/>
              <w:end w:w="120" w:type="dxa"/>
            </w:tcMar>
          </w:tcPr>
          <w:p>
            <w:pPr>
              <w:pStyle w:val="TechnicalTable"/>
            </w:pPr>
            <w:r>
              <w:t>AnalyticsQueries</w:t>
            </w:r>
          </w:p>
        </w:tc>
        <w:tc>
          <w:tcPr>
            <w:tcW w:type="dxa" w:w="5760"/>
            <w:vAlign w:val="center"/>
            <w:tcMar>
              <w:top w:w="80" w:type="dxa"/>
              <w:bottom w:w="80" w:type="dxa"/>
              <w:start w:w="120" w:type="dxa"/>
              <w:end w:w="120" w:type="dxa"/>
            </w:tcMar>
          </w:tcPr>
          <w:p>
            <w:pPr>
              <w:pStyle w:val="TechnicalTable"/>
            </w:pPr>
            <w:r>
              <w:t>Shared dataset scope, dates, sorting and stable pagination</w:t>
            </w:r>
          </w:p>
        </w:tc>
      </w:tr>
      <w:tr>
        <w:trPr>
          <w:cantSplit/>
        </w:trPr>
        <w:tc>
          <w:tcPr>
            <w:tcW w:type="dxa" w:w="3600"/>
            <w:vAlign w:val="center"/>
            <w:tcMar>
              <w:top w:w="80" w:type="dxa"/>
              <w:bottom w:w="80" w:type="dxa"/>
              <w:start w:w="120" w:type="dxa"/>
              <w:end w:w="120" w:type="dxa"/>
            </w:tcMar>
          </w:tcPr>
          <w:p>
            <w:pPr>
              <w:pStyle w:val="TechnicalTable"/>
            </w:pPr>
            <w:r>
              <w:t>AnalyticsService</w:t>
            </w:r>
          </w:p>
        </w:tc>
        <w:tc>
          <w:tcPr>
            <w:tcW w:type="dxa" w:w="5760"/>
            <w:vAlign w:val="center"/>
            <w:tcMar>
              <w:top w:w="80" w:type="dxa"/>
              <w:bottom w:w="80" w:type="dxa"/>
              <w:start w:w="120" w:type="dxa"/>
              <w:end w:w="120" w:type="dxa"/>
            </w:tcMar>
          </w:tcPr>
          <w:p>
            <w:pPr>
              <w:pStyle w:val="TechnicalTable"/>
            </w:pPr>
            <w:r>
              <w:t>Dashboard and module summaries, distributions, trends and workspace summaries</w:t>
            </w:r>
          </w:p>
        </w:tc>
      </w:tr>
      <w:tr>
        <w:trPr>
          <w:cantSplit/>
        </w:trPr>
        <w:tc>
          <w:tcPr>
            <w:tcW w:type="dxa" w:w="3600"/>
            <w:vAlign w:val="center"/>
            <w:tcMar>
              <w:top w:w="80" w:type="dxa"/>
              <w:bottom w:w="80" w:type="dxa"/>
              <w:start w:w="120" w:type="dxa"/>
              <w:end w:w="120" w:type="dxa"/>
            </w:tcMar>
          </w:tcPr>
          <w:p>
            <w:pPr>
              <w:pStyle w:val="TechnicalTable"/>
            </w:pPr>
            <w:r>
              <w:t>ReportService</w:t>
            </w:r>
          </w:p>
        </w:tc>
        <w:tc>
          <w:tcPr>
            <w:tcW w:type="dxa" w:w="5760"/>
            <w:vAlign w:val="center"/>
            <w:tcMar>
              <w:top w:w="80" w:type="dxa"/>
              <w:bottom w:w="80" w:type="dxa"/>
              <w:start w:w="120" w:type="dxa"/>
              <w:end w:w="120" w:type="dxa"/>
            </w:tcMar>
          </w:tcPr>
          <w:p>
            <w:pPr>
              <w:pStyle w:val="TechnicalTable"/>
            </w:pPr>
            <w:r>
              <w:t>Explicit columns and structured data for five reports; generation auditing</w:t>
            </w:r>
          </w:p>
        </w:tc>
      </w:tr>
      <w:tr>
        <w:trPr>
          <w:cantSplit/>
        </w:trPr>
        <w:tc>
          <w:tcPr>
            <w:tcW w:type="dxa" w:w="3600"/>
            <w:vAlign w:val="center"/>
            <w:tcMar>
              <w:top w:w="80" w:type="dxa"/>
              <w:bottom w:w="80" w:type="dxa"/>
              <w:start w:w="120" w:type="dxa"/>
              <w:end w:w="120" w:type="dxa"/>
            </w:tcMar>
          </w:tcPr>
          <w:p>
            <w:pPr>
              <w:pStyle w:val="TechnicalTable"/>
            </w:pPr>
            <w:r>
              <w:t>ReportExporter</w:t>
            </w:r>
          </w:p>
        </w:tc>
        <w:tc>
          <w:tcPr>
            <w:tcW w:type="dxa" w:w="5760"/>
            <w:vAlign w:val="center"/>
            <w:tcMar>
              <w:top w:w="80" w:type="dxa"/>
              <w:bottom w:w="80" w:type="dxa"/>
              <w:start w:w="120" w:type="dxa"/>
              <w:end w:w="120" w:type="dxa"/>
            </w:tcMar>
          </w:tcPr>
          <w:p>
            <w:pPr>
              <w:pStyle w:val="TechnicalTable"/>
            </w:pPr>
            <w:r>
              <w:t>UTF-8 CSV, formula-injection protection, typed Excel cells and streamed worksheet writing</w:t>
            </w:r>
          </w:p>
        </w:tc>
      </w:tr>
      <w:tr>
        <w:trPr>
          <w:cantSplit/>
        </w:trPr>
        <w:tc>
          <w:tcPr>
            <w:tcW w:type="dxa" w:w="3600"/>
            <w:vAlign w:val="center"/>
            <w:tcMar>
              <w:top w:w="80" w:type="dxa"/>
              <w:bottom w:w="80" w:type="dxa"/>
              <w:start w:w="120" w:type="dxa"/>
              <w:end w:w="120" w:type="dxa"/>
            </w:tcMar>
          </w:tcPr>
          <w:p>
            <w:pPr>
              <w:pStyle w:val="TechnicalTable"/>
            </w:pPr>
            <w:r>
              <w:t>AnalyticsResponseMiddleware</w:t>
            </w:r>
          </w:p>
        </w:tc>
        <w:tc>
          <w:tcPr>
            <w:tcW w:type="dxa" w:w="5760"/>
            <w:vAlign w:val="center"/>
            <w:tcMar>
              <w:top w:w="80" w:type="dxa"/>
              <w:bottom w:w="80" w:type="dxa"/>
              <w:start w:w="120" w:type="dxa"/>
              <w:end w:w="120" w:type="dxa"/>
            </w:tcMar>
          </w:tcPr>
          <w:p>
            <w:pPr>
              <w:pStyle w:val="TechnicalTable"/>
            </w:pPr>
            <w:r>
              <w:t>New-route error/auth envelopes without changing legacy APIs</w:t>
            </w:r>
          </w:p>
        </w:tc>
      </w:tr>
      <w:tr>
        <w:trPr>
          <w:cantSplit/>
        </w:trPr>
        <w:tc>
          <w:tcPr>
            <w:tcW w:type="dxa" w:w="3600"/>
            <w:vAlign w:val="center"/>
            <w:tcMar>
              <w:top w:w="80" w:type="dxa"/>
              <w:bottom w:w="80" w:type="dxa"/>
              <w:start w:w="120" w:type="dxa"/>
              <w:end w:w="120" w:type="dxa"/>
            </w:tcMar>
          </w:tcPr>
          <w:p>
            <w:pPr>
              <w:pStyle w:val="TechnicalTable"/>
            </w:pPr>
            <w:r>
              <w:t>AnalyticsPermissionHandler</w:t>
            </w:r>
          </w:p>
        </w:tc>
        <w:tc>
          <w:tcPr>
            <w:tcW w:type="dxa" w:w="5760"/>
            <w:vAlign w:val="center"/>
            <w:tcMar>
              <w:top w:w="80" w:type="dxa"/>
              <w:bottom w:w="80" w:type="dxa"/>
              <w:start w:w="120" w:type="dxa"/>
              <w:end w:w="120" w:type="dxa"/>
            </w:tcMar>
          </w:tcPr>
          <w:p>
            <w:pPr>
              <w:pStyle w:val="TechnicalTable"/>
            </w:pPr>
            <w:r>
              <w:t>Reuses existing read permissions; explicit reports.export for downloads</w:t>
            </w:r>
          </w:p>
        </w:tc>
      </w:tr>
    </w:tbl>
    <w:p>
      <w:pPr>
        <w:pStyle w:val="SourceNote"/>
        <w:spacing w:before="0" w:after="60" w:line="60" w:lineRule="exact"/>
      </w:pPr>
    </w:p>
    <w:p>
      <w:pPr/>
      <w:r>
        <w:t>Views are mapped read-only. Global query filters apply to all three projections. Workspace queries also have an explicit filter because the original Workspace entity has no global filter. No analytics request calls IgnoreQueryFilters. Database views are not a substitute for database-level permissions: application-level tenant enforcement remains mandatory.</w:t>
      </w:r>
    </w:p>
    <w:p>
      <w:pPr>
        <w:pStyle w:val="Heading2"/>
        <w:keepNext/>
      </w:pPr>
      <w:r>
        <w:t>Metric definitions and assumptions</w:t>
      </w:r>
    </w:p>
    <w:p>
      <w:pPr>
        <w:pStyle w:val="Heading3"/>
        <w:keepNext/>
      </w:pPr>
      <w:r>
        <w:t>Dataset and quality metrics</w:t>
      </w:r>
    </w:p>
    <w:p>
      <w:pPr>
        <w:pStyle w:val="ListBullet"/>
        <w:numPr>
          <w:ilvl w:val="0"/>
          <w:numId w:val="10"/>
        </w:numPr>
      </w:pPr>
      <w:r>
        <w:t>Total datasets includes Draft, Active and Archived; soft-deleted datasets and their imports/profiles are excluded consistently, including historical reports.</w:t>
      </w:r>
    </w:p>
    <w:p>
      <w:pPr>
        <w:pStyle w:val="ListBullet"/>
        <w:numPr>
          <w:ilvl w:val="0"/>
          <w:numId w:val="10"/>
        </w:numPr>
      </w:pPr>
      <w:r>
        <w:t>Grouping uses current dataset category, owner, name, workspace and status. These reports are not historical metadata reconstruction.</w:t>
      </w:r>
    </w:p>
    <w:p>
      <w:pPr>
        <w:pStyle w:val="ListBullet"/>
        <w:numPr>
          <w:ilvl w:val="0"/>
          <w:numId w:val="10"/>
        </w:numPr>
      </w:pPr>
      <w:r>
        <w:t>Current record count is DatasetRecords count; it is not cumulative ingestion volume.</w:t>
      </w:r>
    </w:p>
    <w:p>
      <w:pPr>
        <w:pStyle w:val="ListBullet"/>
        <w:numPr>
          <w:ilvl w:val="0"/>
          <w:numId w:val="10"/>
        </w:numPr>
      </w:pPr>
      <w:r>
        <w:t>Latest completed profile means Status=Completed with a non-null completion time, ordered by CompletedAtUtc DESC, CreatedAtUtc DESC, Id DESC. Failed, cancelled and queued runs never replace a completed score.</w:t>
      </w:r>
    </w:p>
    <w:p>
      <w:pPr>
        <w:pStyle w:val="ListBullet"/>
        <w:numPr>
          <w:ilvl w:val="0"/>
          <w:numId w:val="10"/>
        </w:numPr>
      </w:pPr>
      <w:r>
        <w:t>Platform/workspace quality = simple arithmetic average of latest dataset-level scores, rounded to two decimal places away from zero. A=92, B=86, C=94 gives 90.67.</w:t>
      </w:r>
    </w:p>
    <w:p>
      <w:pPr>
        <w:pStyle w:val="ListBullet"/>
        <w:numPr>
          <w:ilvl w:val="0"/>
          <w:numId w:val="10"/>
        </w:numPr>
      </w:pPr>
      <w:r>
        <w:t>Each dimension averages its non-null latest dataset-level values independently. Missing scores are null, not zero.</w:t>
      </w:r>
    </w:p>
    <w:p>
      <w:pPr>
        <w:pStyle w:val="ListBullet"/>
        <w:numPr>
          <w:ilvl w:val="0"/>
          <w:numId w:val="10"/>
        </w:numPr>
      </w:pPr>
      <w:r>
        <w:t>Datasets without a completed profile are reported as unprofiled and requiring attention, including datasets that have not yet imported data.</w:t>
      </w:r>
    </w:p>
    <w:p>
      <w:pPr>
        <w:pStyle w:val="ListBullet"/>
        <w:numPr>
          <w:ilvl w:val="0"/>
          <w:numId w:val="10"/>
        </w:numPr>
      </w:pPr>
      <w:r>
        <w:t>An empty dataset with a completed N/A profile is profiled but unscored; it is neither passing nor failing just because its score is N/A.</w:t>
      </w:r>
    </w:p>
    <w:p>
      <w:pPr>
        <w:pStyle w:val="ListBullet"/>
        <w:numPr>
          <w:ilvl w:val="0"/>
          <w:numId w:val="10"/>
        </w:numPr>
      </w:pPr>
      <w:r>
        <w:t>Threshold status and applied thresholds come from the latest profile's stored snapshot, preserving quality-profile reproducibility. Changing active thresholds does not reclassify old runs; run profiling again to apply changed thresholds.</w:t>
      </w:r>
    </w:p>
    <w:p>
      <w:pPr>
        <w:pStyle w:val="ListBullet"/>
        <w:numPr>
          <w:ilvl w:val="0"/>
          <w:numId w:val="10"/>
        </w:numPr>
      </w:pPr>
      <w:r>
        <w:t>The quality-profile dimension weights and scoring version remain unchanged. Historical profiling runs are never averaged into current summaries.</w:t>
      </w:r>
    </w:p>
    <w:p>
      <w:pPr>
        <w:pStyle w:val="Heading3"/>
        <w:keepNext/>
      </w:pPr>
      <w:r>
        <w:t>Attention classification</w:t>
      </w:r>
    </w:p>
    <w:p>
      <w:pPr/>
      <w:r>
        <w:t>The KPI counts distinct datasets satisfying at least one condition; the attention endpoint returns all applicable machine-readable reasons.</w:t>
      </w:r>
    </w:p>
    <w:tbl>
      <w:tblPr>
        <w:tblW w:type="dxa" w:w="9360"/>
        <w:jc w:val="left"/>
        <w:tblLayout w:type="fixed"/>
        <w:tblLook w:firstColumn="1" w:firstRow="1" w:lastColumn="0" w:lastRow="0" w:noHBand="0" w:noVBand="1" w:val="04A0"/>
        <w:tblInd w:type="dxa" w:w="120"/>
        <w:tblBorders>
          <w:top w:val="single" w:sz="4" w:color="CDD7E2"/>
          <w:left w:val="single" w:sz="4" w:color="CDD7E2"/>
          <w:bottom w:val="single" w:sz="4" w:color="CDD7E2"/>
          <w:right w:val="single" w:sz="4" w:color="CDD7E2"/>
          <w:insideH w:val="single" w:sz="4" w:color="CDD7E2"/>
          <w:insideV w:val="single" w:sz="4" w:color="CDD7E2"/>
        </w:tblBorders>
      </w:tblPr>
      <w:tblGrid>
        <w:gridCol w:w="3600"/>
        <w:gridCol w:w="5760"/>
      </w:tblGrid>
      <w:tr>
        <w:trPr>
          <w:cantSplit/>
          <w:tblHeader/>
        </w:trPr>
        <w:tc>
          <w:tcPr>
            <w:tcW w:type="dxa" w:w="3600"/>
            <w:vAlign w:val="center"/>
            <w:shd w:fill="E8EEF5"/>
            <w:tcMar>
              <w:top w:w="80" w:type="dxa"/>
              <w:bottom w:w="80" w:type="dxa"/>
              <w:start w:w="120" w:type="dxa"/>
              <w:end w:w="120" w:type="dxa"/>
            </w:tcMar>
          </w:tcPr>
          <w:p>
            <w:pPr>
              <w:pStyle w:val="TechnicalTable"/>
            </w:pPr>
            <w:r>
              <w:rPr>
                <w:b/>
              </w:rPr>
              <w:t>Reason</w:t>
            </w:r>
          </w:p>
        </w:tc>
        <w:tc>
          <w:tcPr>
            <w:tcW w:type="dxa" w:w="5760"/>
            <w:vAlign w:val="center"/>
            <w:shd w:fill="E8EEF5"/>
            <w:tcMar>
              <w:top w:w="80" w:type="dxa"/>
              <w:bottom w:w="80" w:type="dxa"/>
              <w:start w:w="120" w:type="dxa"/>
              <w:end w:w="120" w:type="dxa"/>
            </w:tcMar>
          </w:tcPr>
          <w:p>
            <w:pPr>
              <w:pStyle w:val="TechnicalTable"/>
            </w:pPr>
            <w:r>
              <w:rPr>
                <w:b/>
              </w:rPr>
              <w:t>Condition</w:t>
            </w:r>
          </w:p>
        </w:tc>
      </w:tr>
      <w:tr>
        <w:trPr>
          <w:cantSplit/>
        </w:trPr>
        <w:tc>
          <w:tcPr>
            <w:tcW w:type="dxa" w:w="3600"/>
            <w:vAlign w:val="center"/>
            <w:tcMar>
              <w:top w:w="80" w:type="dxa"/>
              <w:bottom w:w="80" w:type="dxa"/>
              <w:start w:w="120" w:type="dxa"/>
              <w:end w:w="120" w:type="dxa"/>
            </w:tcMar>
          </w:tcPr>
          <w:p>
            <w:pPr>
              <w:pStyle w:val="TechnicalTable"/>
            </w:pPr>
            <w:r>
              <w:t>NoCompletedProfile</w:t>
            </w:r>
          </w:p>
        </w:tc>
        <w:tc>
          <w:tcPr>
            <w:tcW w:type="dxa" w:w="5760"/>
            <w:vAlign w:val="center"/>
            <w:tcMar>
              <w:top w:w="80" w:type="dxa"/>
              <w:bottom w:w="80" w:type="dxa"/>
              <w:start w:w="120" w:type="dxa"/>
              <w:end w:w="120" w:type="dxa"/>
            </w:tcMar>
          </w:tcPr>
          <w:p>
            <w:pPr>
              <w:pStyle w:val="TechnicalTable"/>
            </w:pPr>
            <w:r>
              <w:t>No completed profile exists, whether or not the dataset has imported data</w:t>
            </w:r>
          </w:p>
        </w:tc>
      </w:tr>
      <w:tr>
        <w:trPr>
          <w:cantSplit/>
        </w:trPr>
        <w:tc>
          <w:tcPr>
            <w:tcW w:type="dxa" w:w="3600"/>
            <w:vAlign w:val="center"/>
            <w:tcMar>
              <w:top w:w="80" w:type="dxa"/>
              <w:bottom w:w="80" w:type="dxa"/>
              <w:start w:w="120" w:type="dxa"/>
              <w:end w:w="120" w:type="dxa"/>
            </w:tcMar>
          </w:tcPr>
          <w:p>
            <w:pPr>
              <w:pStyle w:val="TechnicalTable"/>
            </w:pPr>
            <w:r>
              <w:t>NoProfileAfterLatestImport</w:t>
            </w:r>
          </w:p>
        </w:tc>
        <w:tc>
          <w:tcPr>
            <w:tcW w:type="dxa" w:w="5760"/>
            <w:vAlign w:val="center"/>
            <w:tcMar>
              <w:top w:w="80" w:type="dxa"/>
              <w:bottom w:w="80" w:type="dxa"/>
              <w:start w:w="120" w:type="dxa"/>
              <w:end w:w="120" w:type="dxa"/>
            </w:tcMar>
          </w:tcPr>
          <w:p>
            <w:pPr>
              <w:pStyle w:val="TechnicalTable"/>
            </w:pPr>
            <w:r>
              <w:t>A completed profile exists, but it predates the latest successfully committed import completion</w:t>
            </w:r>
          </w:p>
        </w:tc>
      </w:tr>
      <w:tr>
        <w:trPr>
          <w:cantSplit/>
        </w:trPr>
        <w:tc>
          <w:tcPr>
            <w:tcW w:type="dxa" w:w="3600"/>
            <w:vAlign w:val="center"/>
            <w:tcMar>
              <w:top w:w="80" w:type="dxa"/>
              <w:bottom w:w="80" w:type="dxa"/>
              <w:start w:w="120" w:type="dxa"/>
              <w:end w:w="120" w:type="dxa"/>
            </w:tcMar>
          </w:tcPr>
          <w:p>
            <w:pPr>
              <w:pStyle w:val="TechnicalTable"/>
            </w:pPr>
            <w:r>
              <w:t>QualityThresholdFailed</w:t>
            </w:r>
          </w:p>
        </w:tc>
        <w:tc>
          <w:tcPr>
            <w:tcW w:type="dxa" w:w="5760"/>
            <w:vAlign w:val="center"/>
            <w:tcMar>
              <w:top w:w="80" w:type="dxa"/>
              <w:bottom w:w="80" w:type="dxa"/>
              <w:start w:w="120" w:type="dxa"/>
              <w:end w:w="120" w:type="dxa"/>
            </w:tcMar>
          </w:tcPr>
          <w:p>
            <w:pPr>
              <w:pStyle w:val="TechnicalTable"/>
            </w:pPr>
            <w:r>
              <w:t>Latest completed profile's stored ThresholdStatus is Failed</w:t>
            </w:r>
          </w:p>
        </w:tc>
      </w:tr>
      <w:tr>
        <w:trPr>
          <w:cantSplit/>
        </w:trPr>
        <w:tc>
          <w:tcPr>
            <w:tcW w:type="dxa" w:w="3600"/>
            <w:vAlign w:val="center"/>
            <w:tcMar>
              <w:top w:w="80" w:type="dxa"/>
              <w:bottom w:w="80" w:type="dxa"/>
              <w:start w:w="120" w:type="dxa"/>
              <w:end w:w="120" w:type="dxa"/>
            </w:tcMar>
          </w:tcPr>
          <w:p>
            <w:pPr>
              <w:pStyle w:val="TechnicalTable"/>
            </w:pPr>
            <w:r>
              <w:t>LatestImportFailed</w:t>
            </w:r>
          </w:p>
        </w:tc>
        <w:tc>
          <w:tcPr>
            <w:tcW w:type="dxa" w:w="5760"/>
            <w:vAlign w:val="center"/>
            <w:tcMar>
              <w:top w:w="80" w:type="dxa"/>
              <w:bottom w:w="80" w:type="dxa"/>
              <w:start w:w="120" w:type="dxa"/>
              <w:end w:w="120" w:type="dxa"/>
            </w:tcMar>
          </w:tcPr>
          <w:p>
            <w:pPr>
              <w:pStyle w:val="TechnicalTable"/>
            </w:pPr>
            <w:r>
              <w:t>Latest import by CreatedAtUtc then Id has status Failed</w:t>
            </w:r>
          </w:p>
        </w:tc>
      </w:tr>
      <w:tr>
        <w:trPr>
          <w:cantSplit/>
        </w:trPr>
        <w:tc>
          <w:tcPr>
            <w:tcW w:type="dxa" w:w="3600"/>
            <w:vAlign w:val="center"/>
            <w:tcMar>
              <w:top w:w="80" w:type="dxa"/>
              <w:bottom w:w="80" w:type="dxa"/>
              <w:start w:w="120" w:type="dxa"/>
              <w:end w:w="120" w:type="dxa"/>
            </w:tcMar>
          </w:tcPr>
          <w:p>
            <w:pPr>
              <w:pStyle w:val="TechnicalTable"/>
            </w:pPr>
            <w:r>
              <w:t>LatestImportCompletedWithErrors</w:t>
            </w:r>
          </w:p>
        </w:tc>
        <w:tc>
          <w:tcPr>
            <w:tcW w:type="dxa" w:w="5760"/>
            <w:vAlign w:val="center"/>
            <w:tcMar>
              <w:top w:w="80" w:type="dxa"/>
              <w:bottom w:w="80" w:type="dxa"/>
              <w:start w:w="120" w:type="dxa"/>
              <w:end w:w="120" w:type="dxa"/>
            </w:tcMar>
          </w:tcPr>
          <w:p>
            <w:pPr>
              <w:pStyle w:val="TechnicalTable"/>
            </w:pPr>
            <w:r>
              <w:t>Latest import has status Completed With Errors</w:t>
            </w:r>
          </w:p>
        </w:tc>
      </w:tr>
      <w:tr>
        <w:trPr>
          <w:cantSplit/>
        </w:trPr>
        <w:tc>
          <w:tcPr>
            <w:tcW w:type="dxa" w:w="3600"/>
            <w:vAlign w:val="center"/>
            <w:tcMar>
              <w:top w:w="80" w:type="dxa"/>
              <w:bottom w:w="80" w:type="dxa"/>
              <w:start w:w="120" w:type="dxa"/>
              <w:end w:w="120" w:type="dxa"/>
            </w:tcMar>
          </w:tcPr>
          <w:p>
            <w:pPr>
              <w:pStyle w:val="TechnicalTable"/>
            </w:pPr>
            <w:r>
              <w:t>SignificantQualityIssues</w:t>
            </w:r>
          </w:p>
        </w:tc>
        <w:tc>
          <w:tcPr>
            <w:tcW w:type="dxa" w:w="5760"/>
            <w:vAlign w:val="center"/>
            <w:tcMar>
              <w:top w:w="80" w:type="dxa"/>
              <w:bottom w:w="80" w:type="dxa"/>
              <w:start w:w="120" w:type="dxa"/>
              <w:end w:w="120" w:type="dxa"/>
            </w:tcMar>
          </w:tcPr>
          <w:p>
            <w:pPr>
              <w:pStyle w:val="TechnicalTable"/>
            </w:pPr>
            <w:r>
              <w:t>Latest profile has an Error/Critical issue or a positive column InvalidCount</w:t>
            </w:r>
          </w:p>
        </w:tc>
      </w:tr>
    </w:tbl>
    <w:p>
      <w:pPr>
        <w:pStyle w:val="SourceNote"/>
        <w:spacing w:before="0" w:after="60" w:line="60" w:lineRule="exact"/>
      </w:pPr>
    </w:p>
    <w:p>
      <w:pPr/>
      <w:r>
        <w:t>The significant-issues rule is a documented conservative default because the assignment does not specify a severity threshold. InvalidValueCount counts invalid cells across columns, not distinct records. Issue counts are latest-profile counts, not sums of repeated historical observations. There is no resolved/unresolved workflow in the existing model.</w:t>
      </w:r>
    </w:p>
    <w:p>
      <w:pPr/>
      <w:r>
        <w:t>Freshness is a timestamp-based proxy against the latest Completed/Completed With Errors import. The quality profiling module profiles the current dataset, not an immutable dataset snapshot. A later manual profile can satisfy freshness. Latest import status includes all import lifecycle states, so a newly Created/Queued import becomes the latest attempt.</w:t>
      </w:r>
    </w:p>
    <w:p>
      <w:pPr>
        <w:pStyle w:val="Heading3"/>
        <w:keepNext/>
      </w:pPr>
      <w:r>
        <w:t>Import metrics</w:t>
      </w:r>
    </w:p>
    <w:tbl>
      <w:tblPr>
        <w:tblW w:type="dxa" w:w="9360"/>
        <w:jc w:val="left"/>
        <w:tblLayout w:type="fixed"/>
        <w:tblLook w:firstColumn="1" w:firstRow="1" w:lastColumn="0" w:lastRow="0" w:noHBand="0" w:noVBand="1" w:val="04A0"/>
        <w:tblInd w:type="dxa" w:w="120"/>
        <w:tblBorders>
          <w:top w:val="single" w:sz="4" w:color="CDD7E2"/>
          <w:left w:val="single" w:sz="4" w:color="CDD7E2"/>
          <w:bottom w:val="single" w:sz="4" w:color="CDD7E2"/>
          <w:right w:val="single" w:sz="4" w:color="CDD7E2"/>
          <w:insideH w:val="single" w:sz="4" w:color="CDD7E2"/>
          <w:insideV w:val="single" w:sz="4" w:color="CDD7E2"/>
        </w:tblBorders>
      </w:tblPr>
      <w:tblGrid>
        <w:gridCol w:w="3500"/>
        <w:gridCol w:w="5860"/>
      </w:tblGrid>
      <w:tr>
        <w:trPr>
          <w:cantSplit/>
          <w:tblHeader/>
        </w:trPr>
        <w:tc>
          <w:tcPr>
            <w:tcW w:type="dxa" w:w="3500"/>
            <w:vAlign w:val="center"/>
            <w:shd w:fill="E8EEF5"/>
            <w:tcMar>
              <w:top w:w="80" w:type="dxa"/>
              <w:bottom w:w="80" w:type="dxa"/>
              <w:start w:w="120" w:type="dxa"/>
              <w:end w:w="120" w:type="dxa"/>
            </w:tcMar>
          </w:tcPr>
          <w:p>
            <w:pPr>
              <w:pStyle w:val="TechnicalTable"/>
            </w:pPr>
            <w:r>
              <w:rPr>
                <w:b/>
              </w:rPr>
              <w:t>Metric</w:t>
            </w:r>
          </w:p>
        </w:tc>
        <w:tc>
          <w:tcPr>
            <w:tcW w:type="dxa" w:w="5860"/>
            <w:vAlign w:val="center"/>
            <w:shd w:fill="E8EEF5"/>
            <w:tcMar>
              <w:top w:w="80" w:type="dxa"/>
              <w:bottom w:w="80" w:type="dxa"/>
              <w:start w:w="120" w:type="dxa"/>
              <w:end w:w="120" w:type="dxa"/>
            </w:tcMar>
          </w:tcPr>
          <w:p>
            <w:pPr>
              <w:pStyle w:val="TechnicalTable"/>
            </w:pPr>
            <w:r>
              <w:rPr>
                <w:b/>
              </w:rPr>
              <w:t>Calculation</w:t>
            </w:r>
          </w:p>
        </w:tc>
      </w:tr>
      <w:tr>
        <w:trPr>
          <w:cantSplit/>
        </w:trPr>
        <w:tc>
          <w:tcPr>
            <w:tcW w:type="dxa" w:w="3500"/>
            <w:vAlign w:val="center"/>
            <w:tcMar>
              <w:top w:w="80" w:type="dxa"/>
              <w:bottom w:w="80" w:type="dxa"/>
              <w:start w:w="120" w:type="dxa"/>
              <w:end w:w="120" w:type="dxa"/>
            </w:tcMar>
          </w:tcPr>
          <w:p>
            <w:pPr>
              <w:pStyle w:val="TechnicalTable"/>
            </w:pPr>
            <w:r>
              <w:t>TotalImports</w:t>
            </w:r>
          </w:p>
        </w:tc>
        <w:tc>
          <w:tcPr>
            <w:tcW w:type="dxa" w:w="5860"/>
            <w:vAlign w:val="center"/>
            <w:tcMar>
              <w:top w:w="80" w:type="dxa"/>
              <w:bottom w:w="80" w:type="dxa"/>
              <w:start w:w="120" w:type="dxa"/>
              <w:end w:w="120" w:type="dxa"/>
            </w:tcMar>
          </w:tcPr>
          <w:p>
            <w:pPr>
              <w:pStyle w:val="TechnicalTable"/>
            </w:pPr>
            <w:r>
              <w:t>All matching import rows, including Created/Queued/Processing/Cancelled</w:t>
            </w:r>
          </w:p>
        </w:tc>
      </w:tr>
      <w:tr>
        <w:trPr>
          <w:cantSplit/>
        </w:trPr>
        <w:tc>
          <w:tcPr>
            <w:tcW w:type="dxa" w:w="3500"/>
            <w:vAlign w:val="center"/>
            <w:tcMar>
              <w:top w:w="80" w:type="dxa"/>
              <w:bottom w:w="80" w:type="dxa"/>
              <w:start w:w="120" w:type="dxa"/>
              <w:end w:w="120" w:type="dxa"/>
            </w:tcMar>
          </w:tcPr>
          <w:p>
            <w:pPr>
              <w:pStyle w:val="TechnicalTable"/>
            </w:pPr>
            <w:r>
              <w:t>SuccessfulImports</w:t>
            </w:r>
          </w:p>
        </w:tc>
        <w:tc>
          <w:tcPr>
            <w:tcW w:type="dxa" w:w="5860"/>
            <w:vAlign w:val="center"/>
            <w:tcMar>
              <w:top w:w="80" w:type="dxa"/>
              <w:bottom w:w="80" w:type="dxa"/>
              <w:start w:w="120" w:type="dxa"/>
              <w:end w:w="120" w:type="dxa"/>
            </w:tcMar>
          </w:tcPr>
          <w:p>
            <w:pPr>
              <w:pStyle w:val="TechnicalTable"/>
            </w:pPr>
            <w:r>
              <w:t>Status = Completed only</w:t>
            </w:r>
          </w:p>
        </w:tc>
      </w:tr>
      <w:tr>
        <w:trPr>
          <w:cantSplit/>
        </w:trPr>
        <w:tc>
          <w:tcPr>
            <w:tcW w:type="dxa" w:w="3500"/>
            <w:vAlign w:val="center"/>
            <w:tcMar>
              <w:top w:w="80" w:type="dxa"/>
              <w:bottom w:w="80" w:type="dxa"/>
              <w:start w:w="120" w:type="dxa"/>
              <w:end w:w="120" w:type="dxa"/>
            </w:tcMar>
          </w:tcPr>
          <w:p>
            <w:pPr>
              <w:pStyle w:val="TechnicalTable"/>
            </w:pPr>
            <w:r>
              <w:t>FailedImports</w:t>
            </w:r>
          </w:p>
        </w:tc>
        <w:tc>
          <w:tcPr>
            <w:tcW w:type="dxa" w:w="5860"/>
            <w:vAlign w:val="center"/>
            <w:tcMar>
              <w:top w:w="80" w:type="dxa"/>
              <w:bottom w:w="80" w:type="dxa"/>
              <w:start w:w="120" w:type="dxa"/>
              <w:end w:w="120" w:type="dxa"/>
            </w:tcMar>
          </w:tcPr>
          <w:p>
            <w:pPr>
              <w:pStyle w:val="TechnicalTable"/>
            </w:pPr>
            <w:r>
              <w:t>Status = Failed</w:t>
            </w:r>
          </w:p>
        </w:tc>
      </w:tr>
      <w:tr>
        <w:trPr>
          <w:cantSplit/>
        </w:trPr>
        <w:tc>
          <w:tcPr>
            <w:tcW w:type="dxa" w:w="3500"/>
            <w:vAlign w:val="center"/>
            <w:tcMar>
              <w:top w:w="80" w:type="dxa"/>
              <w:bottom w:w="80" w:type="dxa"/>
              <w:start w:w="120" w:type="dxa"/>
              <w:end w:w="120" w:type="dxa"/>
            </w:tcMar>
          </w:tcPr>
          <w:p>
            <w:pPr>
              <w:pStyle w:val="TechnicalTable"/>
            </w:pPr>
            <w:r>
              <w:t>CompletedWithErrors</w:t>
            </w:r>
          </w:p>
        </w:tc>
        <w:tc>
          <w:tcPr>
            <w:tcW w:type="dxa" w:w="5860"/>
            <w:vAlign w:val="center"/>
            <w:tcMar>
              <w:top w:w="80" w:type="dxa"/>
              <w:bottom w:w="80" w:type="dxa"/>
              <w:start w:w="120" w:type="dxa"/>
              <w:end w:w="120" w:type="dxa"/>
            </w:tcMar>
          </w:tcPr>
          <w:p>
            <w:pPr>
              <w:pStyle w:val="TechnicalTable"/>
            </w:pPr>
            <w:r>
              <w:t>Status = Completed With Errors, separately counted</w:t>
            </w:r>
          </w:p>
        </w:tc>
      </w:tr>
      <w:tr>
        <w:trPr>
          <w:cantSplit/>
        </w:trPr>
        <w:tc>
          <w:tcPr>
            <w:tcW w:type="dxa" w:w="3500"/>
            <w:vAlign w:val="center"/>
            <w:tcMar>
              <w:top w:w="80" w:type="dxa"/>
              <w:bottom w:w="80" w:type="dxa"/>
              <w:start w:w="120" w:type="dxa"/>
              <w:end w:w="120" w:type="dxa"/>
            </w:tcMar>
          </w:tcPr>
          <w:p>
            <w:pPr>
              <w:pStyle w:val="TechnicalTable"/>
            </w:pPr>
            <w:r>
              <w:t>PendingImports</w:t>
            </w:r>
          </w:p>
        </w:tc>
        <w:tc>
          <w:tcPr>
            <w:tcW w:type="dxa" w:w="5860"/>
            <w:vAlign w:val="center"/>
            <w:tcMar>
              <w:top w:w="80" w:type="dxa"/>
              <w:bottom w:w="80" w:type="dxa"/>
              <w:start w:w="120" w:type="dxa"/>
              <w:end w:w="120" w:type="dxa"/>
            </w:tcMar>
          </w:tcPr>
          <w:p>
            <w:pPr>
              <w:pStyle w:val="TechnicalTable"/>
            </w:pPr>
            <w:r>
              <w:t>Created + Queued + Processing</w:t>
            </w:r>
          </w:p>
        </w:tc>
      </w:tr>
      <w:tr>
        <w:trPr>
          <w:cantSplit/>
        </w:trPr>
        <w:tc>
          <w:tcPr>
            <w:tcW w:type="dxa" w:w="3500"/>
            <w:vAlign w:val="center"/>
            <w:tcMar>
              <w:top w:w="80" w:type="dxa"/>
              <w:bottom w:w="80" w:type="dxa"/>
              <w:start w:w="120" w:type="dxa"/>
              <w:end w:w="120" w:type="dxa"/>
            </w:tcMar>
          </w:tcPr>
          <w:p>
            <w:pPr>
              <w:pStyle w:val="TechnicalTable"/>
            </w:pPr>
            <w:r>
              <w:t>ImportSuccessRate</w:t>
            </w:r>
          </w:p>
        </w:tc>
        <w:tc>
          <w:tcPr>
            <w:tcW w:type="dxa" w:w="5860"/>
            <w:vAlign w:val="center"/>
            <w:tcMar>
              <w:top w:w="80" w:type="dxa"/>
              <w:bottom w:w="80" w:type="dxa"/>
              <w:start w:w="120" w:type="dxa"/>
              <w:end w:w="120" w:type="dxa"/>
            </w:tcMar>
          </w:tcPr>
          <w:p>
            <w:pPr>
              <w:pStyle w:val="TechnicalTable"/>
            </w:pPr>
            <w:r>
              <w:t>Completed / (Completed + Failed + Completed With Errors) × 100</w:t>
            </w:r>
          </w:p>
        </w:tc>
      </w:tr>
      <w:tr>
        <w:trPr>
          <w:cantSplit/>
        </w:trPr>
        <w:tc>
          <w:tcPr>
            <w:tcW w:type="dxa" w:w="3500"/>
            <w:vAlign w:val="center"/>
            <w:tcMar>
              <w:top w:w="80" w:type="dxa"/>
              <w:bottom w:w="80" w:type="dxa"/>
              <w:start w:w="120" w:type="dxa"/>
              <w:end w:w="120" w:type="dxa"/>
            </w:tcMar>
          </w:tcPr>
          <w:p>
            <w:pPr>
              <w:pStyle w:val="TechnicalTable"/>
            </w:pPr>
            <w:r>
              <w:t>RecordsAttempted</w:t>
            </w:r>
          </w:p>
        </w:tc>
        <w:tc>
          <w:tcPr>
            <w:tcW w:type="dxa" w:w="5860"/>
            <w:vAlign w:val="center"/>
            <w:tcMar>
              <w:top w:w="80" w:type="dxa"/>
              <w:bottom w:w="80" w:type="dxa"/>
              <w:start w:w="120" w:type="dxa"/>
              <w:end w:w="120" w:type="dxa"/>
            </w:tcMar>
          </w:tcPr>
          <w:p>
            <w:pPr>
              <w:pStyle w:val="TechnicalTable"/>
            </w:pPr>
            <w:r>
              <w:t>Sum of existing DataImport.TotalRecords; the pipeline's known input/staged row count</w:t>
            </w:r>
          </w:p>
        </w:tc>
      </w:tr>
      <w:tr>
        <w:trPr>
          <w:cantSplit/>
        </w:trPr>
        <w:tc>
          <w:tcPr>
            <w:tcW w:type="dxa" w:w="3500"/>
            <w:vAlign w:val="center"/>
            <w:tcMar>
              <w:top w:w="80" w:type="dxa"/>
              <w:bottom w:w="80" w:type="dxa"/>
              <w:start w:w="120" w:type="dxa"/>
              <w:end w:w="120" w:type="dxa"/>
            </w:tcMar>
          </w:tcPr>
          <w:p>
            <w:pPr>
              <w:pStyle w:val="TechnicalTable"/>
            </w:pPr>
            <w:r>
              <w:t>RecordsSuccessfullyImported</w:t>
            </w:r>
          </w:p>
        </w:tc>
        <w:tc>
          <w:tcPr>
            <w:tcW w:type="dxa" w:w="5860"/>
            <w:vAlign w:val="center"/>
            <w:tcMar>
              <w:top w:w="80" w:type="dxa"/>
              <w:bottom w:w="80" w:type="dxa"/>
              <w:start w:w="120" w:type="dxa"/>
              <w:end w:w="120" w:type="dxa"/>
            </w:tcMar>
          </w:tcPr>
          <w:p>
            <w:pPr>
              <w:pStyle w:val="TechnicalTable"/>
            </w:pPr>
            <w:r>
              <w:t>Sum of SuccessfullyImportedRecords</w:t>
            </w:r>
          </w:p>
        </w:tc>
      </w:tr>
      <w:tr>
        <w:trPr>
          <w:cantSplit/>
        </w:trPr>
        <w:tc>
          <w:tcPr>
            <w:tcW w:type="dxa" w:w="3500"/>
            <w:vAlign w:val="center"/>
            <w:tcMar>
              <w:top w:w="80" w:type="dxa"/>
              <w:bottom w:w="80" w:type="dxa"/>
              <w:start w:w="120" w:type="dxa"/>
              <w:end w:w="120" w:type="dxa"/>
            </w:tcMar>
          </w:tcPr>
          <w:p>
            <w:pPr>
              <w:pStyle w:val="TechnicalTable"/>
            </w:pPr>
            <w:r>
              <w:t>RecordsRejected</w:t>
            </w:r>
          </w:p>
        </w:tc>
        <w:tc>
          <w:tcPr>
            <w:tcW w:type="dxa" w:w="5860"/>
            <w:vAlign w:val="center"/>
            <w:tcMar>
              <w:top w:w="80" w:type="dxa"/>
              <w:bottom w:w="80" w:type="dxa"/>
              <w:start w:w="120" w:type="dxa"/>
              <w:end w:w="120" w:type="dxa"/>
            </w:tcMar>
          </w:tcPr>
          <w:p>
            <w:pPr>
              <w:pStyle w:val="TechnicalTable"/>
            </w:pPr>
            <w:r>
              <w:t>Sum of RejectedRecords, including duplicate handling classified as rejected by the existing pipeline</w:t>
            </w:r>
          </w:p>
        </w:tc>
      </w:tr>
      <w:tr>
        <w:trPr>
          <w:cantSplit/>
        </w:trPr>
        <w:tc>
          <w:tcPr>
            <w:tcW w:type="dxa" w:w="3500"/>
            <w:vAlign w:val="center"/>
            <w:tcMar>
              <w:top w:w="80" w:type="dxa"/>
              <w:bottom w:w="80" w:type="dxa"/>
              <w:start w:w="120" w:type="dxa"/>
              <w:end w:w="120" w:type="dxa"/>
            </w:tcMar>
          </w:tcPr>
          <w:p>
            <w:pPr>
              <w:pStyle w:val="TechnicalTable"/>
            </w:pPr>
            <w:r>
              <w:t>TotalRecordsProcessed</w:t>
            </w:r>
          </w:p>
        </w:tc>
        <w:tc>
          <w:tcPr>
            <w:tcW w:type="dxa" w:w="5860"/>
            <w:vAlign w:val="center"/>
            <w:tcMar>
              <w:top w:w="80" w:type="dxa"/>
              <w:bottom w:w="80" w:type="dxa"/>
              <w:start w:w="120" w:type="dxa"/>
              <w:end w:w="120" w:type="dxa"/>
            </w:tcMar>
          </w:tcPr>
          <w:p>
            <w:pPr>
              <w:pStyle w:val="TechnicalTable"/>
            </w:pPr>
            <w:r>
              <w:t>Sum of SuccessfullyImportedRecords + RejectedRecords; known processed outcomes only</w:t>
            </w:r>
          </w:p>
        </w:tc>
      </w:tr>
      <w:tr>
        <w:trPr>
          <w:cantSplit/>
        </w:trPr>
        <w:tc>
          <w:tcPr>
            <w:tcW w:type="dxa" w:w="3500"/>
            <w:vAlign w:val="center"/>
            <w:tcMar>
              <w:top w:w="80" w:type="dxa"/>
              <w:bottom w:w="80" w:type="dxa"/>
              <w:start w:w="120" w:type="dxa"/>
              <w:end w:w="120" w:type="dxa"/>
            </w:tcMar>
          </w:tcPr>
          <w:p>
            <w:pPr>
              <w:pStyle w:val="TechnicalTable"/>
            </w:pPr>
            <w:r>
              <w:t>RecordsWithoutFinalOutcome</w:t>
            </w:r>
          </w:p>
        </w:tc>
        <w:tc>
          <w:tcPr>
            <w:tcW w:type="dxa" w:w="5860"/>
            <w:vAlign w:val="center"/>
            <w:tcMar>
              <w:top w:w="80" w:type="dxa"/>
              <w:bottom w:w="80" w:type="dxa"/>
              <w:start w:w="120" w:type="dxa"/>
              <w:end w:w="120" w:type="dxa"/>
            </w:tcMar>
          </w:tcPr>
          <w:p>
            <w:pPr>
              <w:pStyle w:val="TechnicalTable"/>
            </w:pPr>
            <w:r>
              <w:t>Sum of max(TotalRecords − SuccessfullyImportedRecords − RejectedRecords, 0)</w:t>
            </w:r>
          </w:p>
        </w:tc>
      </w:tr>
      <w:tr>
        <w:trPr>
          <w:cantSplit/>
        </w:trPr>
        <w:tc>
          <w:tcPr>
            <w:tcW w:type="dxa" w:w="3500"/>
            <w:vAlign w:val="center"/>
            <w:tcMar>
              <w:top w:w="80" w:type="dxa"/>
              <w:bottom w:w="80" w:type="dxa"/>
              <w:start w:w="120" w:type="dxa"/>
              <w:end w:w="120" w:type="dxa"/>
            </w:tcMar>
          </w:tcPr>
          <w:p>
            <w:pPr>
              <w:pStyle w:val="TechnicalTable"/>
            </w:pPr>
            <w:r>
              <w:t>ImportsWithIncompleteStatistics</w:t>
            </w:r>
          </w:p>
        </w:tc>
        <w:tc>
          <w:tcPr>
            <w:tcW w:type="dxa" w:w="5860"/>
            <w:vAlign w:val="center"/>
            <w:tcMar>
              <w:top w:w="80" w:type="dxa"/>
              <w:bottom w:w="80" w:type="dxa"/>
              <w:start w:w="120" w:type="dxa"/>
              <w:end w:w="120" w:type="dxa"/>
            </w:tcMar>
          </w:tcPr>
          <w:p>
            <w:pPr>
              <w:pStyle w:val="TechnicalTable"/>
            </w:pPr>
            <w:r>
              <w:t>Imports not in Completed/Completed With Errors</w:t>
            </w:r>
          </w:p>
        </w:tc>
      </w:tr>
      <w:tr>
        <w:trPr>
          <w:cantSplit/>
        </w:trPr>
        <w:tc>
          <w:tcPr>
            <w:tcW w:type="dxa" w:w="3500"/>
            <w:vAlign w:val="center"/>
            <w:tcMar>
              <w:top w:w="80" w:type="dxa"/>
              <w:bottom w:w="80" w:type="dxa"/>
              <w:start w:w="120" w:type="dxa"/>
              <w:end w:w="120" w:type="dxa"/>
            </w:tcMar>
          </w:tcPr>
          <w:p>
            <w:pPr>
              <w:pStyle w:val="TechnicalTable"/>
            </w:pPr>
            <w:r>
              <w:t>RecordSuccessRate</w:t>
            </w:r>
          </w:p>
        </w:tc>
        <w:tc>
          <w:tcPr>
            <w:tcW w:type="dxa" w:w="5860"/>
            <w:vAlign w:val="center"/>
            <w:tcMar>
              <w:top w:w="80" w:type="dxa"/>
              <w:bottom w:w="80" w:type="dxa"/>
              <w:start w:w="120" w:type="dxa"/>
              <w:end w:w="120" w:type="dxa"/>
            </w:tcMar>
          </w:tcPr>
          <w:p>
            <w:pPr>
              <w:pStyle w:val="TechnicalTable"/>
            </w:pPr>
            <w:r>
              <w:t>SuccessfullyImportedRecords / known processed records × 100</w:t>
            </w:r>
          </w:p>
        </w:tc>
      </w:tr>
      <w:tr>
        <w:trPr>
          <w:cantSplit/>
        </w:trPr>
        <w:tc>
          <w:tcPr>
            <w:tcW w:type="dxa" w:w="3500"/>
            <w:vAlign w:val="center"/>
            <w:tcMar>
              <w:top w:w="80" w:type="dxa"/>
              <w:bottom w:w="80" w:type="dxa"/>
              <w:start w:w="120" w:type="dxa"/>
              <w:end w:w="120" w:type="dxa"/>
            </w:tcMar>
          </w:tcPr>
          <w:p>
            <w:pPr>
              <w:pStyle w:val="TechnicalTable"/>
            </w:pPr>
            <w:r>
              <w:t>AverageProcessingTimeMilliseconds</w:t>
            </w:r>
          </w:p>
        </w:tc>
        <w:tc>
          <w:tcPr>
            <w:tcW w:type="dxa" w:w="5860"/>
            <w:vAlign w:val="center"/>
            <w:tcMar>
              <w:top w:w="80" w:type="dxa"/>
              <w:bottom w:w="80" w:type="dxa"/>
              <w:start w:w="120" w:type="dxa"/>
              <w:end w:w="120" w:type="dxa"/>
            </w:tcMar>
          </w:tcPr>
          <w:p>
            <w:pPr>
              <w:pStyle w:val="TechnicalTable"/>
            </w:pPr>
            <w:r>
              <w:t>Average CompletedAtUtc − StartedAtUtc for Completed/Completed With Errors/Failed runs with valid non-negative timestamps</w:t>
            </w:r>
          </w:p>
        </w:tc>
      </w:tr>
    </w:tbl>
    <w:p>
      <w:pPr>
        <w:pStyle w:val="SourceNote"/>
        <w:spacing w:before="0" w:after="60" w:line="60" w:lineRule="exact"/>
      </w:pPr>
    </w:p>
    <w:p>
      <w:pPr/>
      <w:r>
        <w:t>Cancelled imports are excluded from import success-rate denominator and average processing time. Created/Queued/Processing imports are also excluded from those metrics. A zero denominator produces null. Long integer aggregation prevents Int32 counter overflow.</w:t>
      </w:r>
    </w:p>
    <w:p>
      <w:pPr/>
      <w:r>
        <w:t>Important limitation: failed/cancelled imports can retain TotalRecords without final success/rejection counters. The reporting layer does not invent processed outcomes or equate the whole file with processed rows. Known processed volume can therefore be a lower bound. Full reimports and updates count again as pipeline activity; they are not distinct current records. No ingestion counters or legacy processing behaviour are changed.</w:t>
      </w:r>
    </w:p>
    <w:p>
      <w:pPr>
        <w:pStyle w:val="Heading3"/>
        <w:keepNext/>
      </w:pPr>
      <w:r>
        <w:t>Dates and trends</w:t>
      </w:r>
    </w:p>
    <w:p>
      <w:pPr>
        <w:pStyle w:val="ListBullet"/>
        <w:numPr>
          <w:ilvl w:val="0"/>
          <w:numId w:val="10"/>
        </w:numPr>
      </w:pPr>
      <w:r>
        <w:t>FromUtc is inclusive; ToUtc is exclusive. Use ISO 8601 UTC timestamps ending in Z. Unspecified-kind timestamps are treated as UTC; local-kind inputs are rejected. A whole August range is 2026-08-01T00:00:00Z to 2026-09-01T00:00:00Z.</w:t>
      </w:r>
    </w:p>
    <w:p>
      <w:pPr>
        <w:pStyle w:val="ListBullet"/>
        <w:numPr>
          <w:ilvl w:val="0"/>
          <w:numId w:val="10"/>
        </w:numPr>
      </w:pPr>
      <w:r>
        <w:t>Dataset lists/distributions/attention and dataset-summary report: created date by default; DateField=updated is supported.</w:t>
      </w:r>
    </w:p>
    <w:p>
      <w:pPr>
        <w:pStyle w:val="ListBullet"/>
        <w:numPr>
          <w:ilvl w:val="0"/>
          <w:numId w:val="10"/>
        </w:numPr>
      </w:pPr>
      <w:r>
        <w:t>Imports and import reports: created date by default; DateField=started or completed is supported.</w:t>
      </w:r>
    </w:p>
    <w:p>
      <w:pPr>
        <w:pStyle w:val="ListBullet"/>
        <w:numPr>
          <w:ilvl w:val="0"/>
          <w:numId w:val="10"/>
        </w:numPr>
      </w:pPr>
      <w:r>
        <w:t>Quality summary/details/issues and data-quality report: profile completion date. The latest profile is selected first, then date-filtered; an older in-range run never silently replaces the current latest run. When dates are supplied, unprofiled datasets cannot match a completion-date filter; dashboard attention/unprofiled counts remain available.</w:t>
      </w:r>
    </w:p>
    <w:p>
      <w:pPr>
        <w:pStyle w:val="ListBullet"/>
        <w:numPr>
          <w:ilvl w:val="0"/>
          <w:numId w:val="10"/>
        </w:numPr>
      </w:pPr>
      <w:r>
        <w:t>Dashboard and workspace reports mix current inventory/quality with date-filtered import activity. FromUtc/ToUtc apply only to ingestion in these mixed summaries. ImportStatus similarly scopes import metrics, not inventory counts.</w:t>
      </w:r>
    </w:p>
    <w:p>
      <w:pPr>
        <w:pStyle w:val="ListBullet"/>
        <w:numPr>
          <w:ilvl w:val="0"/>
          <w:numId w:val="10"/>
        </w:numPr>
      </w:pPr>
      <w:r>
        <w:t>Quality trends select the latest completed run per dataset per bucket within the requested date range, then average equally by dataset. Dataset filters refer to current dataset metadata. QualityStatus and ImportStatus are rejected for historical quality trends to avoid conflating current and historical state.</w:t>
      </w:r>
    </w:p>
    <w:p>
      <w:pPr>
        <w:pStyle w:val="ListBullet"/>
        <w:numPr>
          <w:ilvl w:val="0"/>
          <w:numId w:val="10"/>
        </w:numPr>
      </w:pPr>
      <w:r>
        <w:t>Grouping: daily, weekly starting Monday UTC, monthly starting the first UTC day. Partial-bucket ranges still use the latest qualifying run inside the range.</w:t>
      </w:r>
    </w:p>
    <w:p>
      <w:pPr>
        <w:pStyle w:val="ListBullet"/>
        <w:numPr>
          <w:ilvl w:val="0"/>
          <w:numId w:val="10"/>
        </w:numPr>
      </w:pPr>
      <w:r>
        <w:t>Trends default to the most recent 30 UTC calendar days through the next midnight; maximum span is 366 days by default.</w:t>
      </w:r>
    </w:p>
    <w:p>
      <w:pPr>
        <w:pStyle w:val="ListBullet"/>
        <w:numPr>
          <w:ilvl w:val="0"/>
          <w:numId w:val="10"/>
        </w:numPr>
      </w:pPr>
      <w:r>
        <w:t>Missing buckets are omitted, not filled with invented zero scores or carried-forward profiles. Returned points include contributing dataset counts. Trends are chronological by default and paginate at 100 points.</w:t>
      </w:r>
    </w:p>
    <w:p>
      <w:pPr>
        <w:pStyle w:val="ListBullet"/>
        <w:numPr>
          <w:ilvl w:val="0"/>
          <w:numId w:val="10"/>
        </w:numPr>
      </w:pPr>
      <w:r>
        <w:t>Recently created/updated means ordered recent records (25 by default), with optional dates; no implicit 30-day filter. Frequent imports counts all matching import attempts; use ImportStatus to narrow it.</w:t>
      </w:r>
    </w:p>
    <w:p>
      <w:pPr>
        <w:pStyle w:val="Heading2"/>
        <w:keepNext/>
      </w:pPr>
      <w:r>
        <w:t>Endpoint reference and collection filters</w:t>
      </w:r>
    </w:p>
    <w:p>
      <w:pPr/>
      <w:r>
        <w:t>All endpoints require a valid existing access token. Each collection has Page, PageSize and appropriate sorting.</w:t>
      </w:r>
    </w:p>
    <w:tbl>
      <w:tblPr>
        <w:tblW w:type="dxa" w:w="9360"/>
        <w:jc w:val="left"/>
        <w:tblLayout w:type="fixed"/>
        <w:tblLook w:firstColumn="1" w:firstRow="1" w:lastColumn="0" w:lastRow="0" w:noHBand="0" w:noVBand="1" w:val="04A0"/>
        <w:tblInd w:type="dxa" w:w="120"/>
        <w:tblBorders>
          <w:top w:val="single" w:sz="4" w:color="CDD7E2"/>
          <w:left w:val="single" w:sz="4" w:color="CDD7E2"/>
          <w:bottom w:val="single" w:sz="4" w:color="CDD7E2"/>
          <w:right w:val="single" w:sz="4" w:color="CDD7E2"/>
          <w:insideH w:val="single" w:sz="4" w:color="CDD7E2"/>
          <w:insideV w:val="single" w:sz="4" w:color="CDD7E2"/>
        </w:tblBorders>
      </w:tblPr>
      <w:tblGrid>
        <w:gridCol w:w="5250"/>
        <w:gridCol w:w="4110"/>
      </w:tblGrid>
      <w:tr>
        <w:trPr>
          <w:cantSplit/>
          <w:tblHeader/>
        </w:trPr>
        <w:tc>
          <w:tcPr>
            <w:tcW w:type="dxa" w:w="5250"/>
            <w:vAlign w:val="center"/>
            <w:shd w:fill="E8EEF5"/>
            <w:tcMar>
              <w:top w:w="80" w:type="dxa"/>
              <w:bottom w:w="80" w:type="dxa"/>
              <w:start w:w="120" w:type="dxa"/>
              <w:end w:w="120" w:type="dxa"/>
            </w:tcMar>
          </w:tcPr>
          <w:p>
            <w:pPr>
              <w:pStyle w:val="TechnicalTable"/>
            </w:pPr>
            <w:r>
              <w:rPr>
                <w:b/>
              </w:rPr>
              <w:t>Method/path</w:t>
            </w:r>
          </w:p>
        </w:tc>
        <w:tc>
          <w:tcPr>
            <w:tcW w:type="dxa" w:w="4110"/>
            <w:vAlign w:val="center"/>
            <w:shd w:fill="E8EEF5"/>
            <w:tcMar>
              <w:top w:w="80" w:type="dxa"/>
              <w:bottom w:w="80" w:type="dxa"/>
              <w:start w:w="120" w:type="dxa"/>
              <w:end w:w="120" w:type="dxa"/>
            </w:tcMar>
          </w:tcPr>
          <w:p>
            <w:pPr>
              <w:pStyle w:val="TechnicalTable"/>
            </w:pPr>
            <w:r>
              <w:rPr>
                <w:b/>
              </w:rPr>
              <w:t>Result</w:t>
            </w:r>
          </w:p>
        </w:tc>
      </w:tr>
      <w:tr>
        <w:trPr>
          <w:cantSplit/>
        </w:trPr>
        <w:tc>
          <w:tcPr>
            <w:tcW w:type="dxa" w:w="5250"/>
            <w:vAlign w:val="center"/>
            <w:tcMar>
              <w:top w:w="80" w:type="dxa"/>
              <w:bottom w:w="80" w:type="dxa"/>
              <w:start w:w="120" w:type="dxa"/>
              <w:end w:w="120" w:type="dxa"/>
            </w:tcMar>
          </w:tcPr>
          <w:p>
            <w:pPr>
              <w:pStyle w:val="TechnicalTable"/>
            </w:pPr>
            <w:r>
              <w:t>GET /api/analytics/summary</w:t>
            </w:r>
          </w:p>
        </w:tc>
        <w:tc>
          <w:tcPr>
            <w:tcW w:type="dxa" w:w="4110"/>
            <w:vAlign w:val="center"/>
            <w:tcMar>
              <w:top w:w="80" w:type="dxa"/>
              <w:bottom w:w="80" w:type="dxa"/>
              <w:start w:w="120" w:type="dxa"/>
              <w:end w:w="120" w:type="dxa"/>
            </w:tcMar>
          </w:tcPr>
          <w:p>
            <w:pPr>
              <w:pStyle w:val="TechnicalTable"/>
            </w:pPr>
            <w:r>
              <w:t>Current dataset/attention/quality KPIs and filtered import metrics</w:t>
            </w:r>
          </w:p>
        </w:tc>
      </w:tr>
      <w:tr>
        <w:trPr>
          <w:cantSplit/>
        </w:trPr>
        <w:tc>
          <w:tcPr>
            <w:tcW w:type="dxa" w:w="5250"/>
            <w:vAlign w:val="center"/>
            <w:tcMar>
              <w:top w:w="80" w:type="dxa"/>
              <w:bottom w:w="80" w:type="dxa"/>
              <w:start w:w="120" w:type="dxa"/>
              <w:end w:w="120" w:type="dxa"/>
            </w:tcMar>
          </w:tcPr>
          <w:p>
            <w:pPr>
              <w:pStyle w:val="TechnicalTable"/>
            </w:pPr>
            <w:r>
              <w:t>GET /api/analytics/datasets</w:t>
            </w:r>
          </w:p>
        </w:tc>
        <w:tc>
          <w:tcPr>
            <w:tcW w:type="dxa" w:w="4110"/>
            <w:vAlign w:val="center"/>
            <w:tcMar>
              <w:top w:w="80" w:type="dxa"/>
              <w:bottom w:w="80" w:type="dxa"/>
              <w:start w:w="120" w:type="dxa"/>
              <w:end w:w="120" w:type="dxa"/>
            </w:tcMar>
          </w:tcPr>
          <w:p>
            <w:pPr>
              <w:pStyle w:val="TechnicalTable"/>
            </w:pPr>
            <w:r>
              <w:t>Dataset analytics, latest profile scores/thresholds and flags</w:t>
            </w:r>
          </w:p>
        </w:tc>
      </w:tr>
      <w:tr>
        <w:trPr>
          <w:cantSplit/>
        </w:trPr>
        <w:tc>
          <w:tcPr>
            <w:tcW w:type="dxa" w:w="5250"/>
            <w:vAlign w:val="center"/>
            <w:tcMar>
              <w:top w:w="80" w:type="dxa"/>
              <w:bottom w:w="80" w:type="dxa"/>
              <w:start w:w="120" w:type="dxa"/>
              <w:end w:w="120" w:type="dxa"/>
            </w:tcMar>
          </w:tcPr>
          <w:p>
            <w:pPr>
              <w:pStyle w:val="TechnicalTable"/>
            </w:pPr>
            <w:r>
              <w:t>GET /api/analytics/datasets/distribution?GroupBy=status</w:t>
            </w:r>
          </w:p>
        </w:tc>
        <w:tc>
          <w:tcPr>
            <w:tcW w:type="dxa" w:w="4110"/>
            <w:vAlign w:val="center"/>
            <w:tcMar>
              <w:top w:w="80" w:type="dxa"/>
              <w:bottom w:w="80" w:type="dxa"/>
              <w:start w:w="120" w:type="dxa"/>
              <w:end w:w="120" w:type="dxa"/>
            </w:tcMar>
          </w:tcPr>
          <w:p>
            <w:pPr>
              <w:pStyle w:val="TechnicalTable"/>
            </w:pPr>
            <w:r>
              <w:t>Counts; GroupBy is status/category/workspace/owner</w:t>
            </w:r>
          </w:p>
        </w:tc>
      </w:tr>
      <w:tr>
        <w:trPr>
          <w:cantSplit/>
        </w:trPr>
        <w:tc>
          <w:tcPr>
            <w:tcW w:type="dxa" w:w="5250"/>
            <w:vAlign w:val="center"/>
            <w:tcMar>
              <w:top w:w="80" w:type="dxa"/>
              <w:bottom w:w="80" w:type="dxa"/>
              <w:start w:w="120" w:type="dxa"/>
              <w:end w:w="120" w:type="dxa"/>
            </w:tcMar>
          </w:tcPr>
          <w:p>
            <w:pPr>
              <w:pStyle w:val="TechnicalTable"/>
            </w:pPr>
            <w:r>
              <w:t>GET /api/analytics/datasets/recent?Activity=created</w:t>
            </w:r>
          </w:p>
        </w:tc>
        <w:tc>
          <w:tcPr>
            <w:tcW w:type="dxa" w:w="4110"/>
            <w:vAlign w:val="center"/>
            <w:tcMar>
              <w:top w:w="80" w:type="dxa"/>
              <w:bottom w:w="80" w:type="dxa"/>
              <w:start w:w="120" w:type="dxa"/>
              <w:end w:w="120" w:type="dxa"/>
            </w:tcMar>
          </w:tcPr>
          <w:p>
            <w:pPr>
              <w:pStyle w:val="TechnicalTable"/>
            </w:pPr>
            <w:r>
              <w:t>Recent created/updated datasets</w:t>
            </w:r>
          </w:p>
        </w:tc>
      </w:tr>
      <w:tr>
        <w:trPr>
          <w:cantSplit/>
        </w:trPr>
        <w:tc>
          <w:tcPr>
            <w:tcW w:type="dxa" w:w="5250"/>
            <w:vAlign w:val="center"/>
            <w:tcMar>
              <w:top w:w="80" w:type="dxa"/>
              <w:bottom w:w="80" w:type="dxa"/>
              <w:start w:w="120" w:type="dxa"/>
              <w:end w:w="120" w:type="dxa"/>
            </w:tcMar>
          </w:tcPr>
          <w:p>
            <w:pPr>
              <w:pStyle w:val="TechnicalTable"/>
            </w:pPr>
            <w:r>
              <w:t>GET /api/analytics/datasets/frequent-imports</w:t>
            </w:r>
          </w:p>
        </w:tc>
        <w:tc>
          <w:tcPr>
            <w:tcW w:type="dxa" w:w="4110"/>
            <w:vAlign w:val="center"/>
            <w:tcMar>
              <w:top w:w="80" w:type="dxa"/>
              <w:bottom w:w="80" w:type="dxa"/>
              <w:start w:w="120" w:type="dxa"/>
              <w:end w:w="120" w:type="dxa"/>
            </w:tcMar>
          </w:tcPr>
          <w:p>
            <w:pPr>
              <w:pStyle w:val="TechnicalTable"/>
            </w:pPr>
            <w:r>
              <w:t>Ranked dataset ingestion metrics</w:t>
            </w:r>
          </w:p>
        </w:tc>
      </w:tr>
      <w:tr>
        <w:trPr>
          <w:cantSplit/>
        </w:trPr>
        <w:tc>
          <w:tcPr>
            <w:tcW w:type="dxa" w:w="5250"/>
            <w:vAlign w:val="center"/>
            <w:tcMar>
              <w:top w:w="80" w:type="dxa"/>
              <w:bottom w:w="80" w:type="dxa"/>
              <w:start w:w="120" w:type="dxa"/>
              <w:end w:w="120" w:type="dxa"/>
            </w:tcMar>
          </w:tcPr>
          <w:p>
            <w:pPr>
              <w:pStyle w:val="TechnicalTable"/>
            </w:pPr>
            <w:r>
              <w:t>GET /api/analytics/attention</w:t>
            </w:r>
          </w:p>
        </w:tc>
        <w:tc>
          <w:tcPr>
            <w:tcW w:type="dxa" w:w="4110"/>
            <w:vAlign w:val="center"/>
            <w:tcMar>
              <w:top w:w="80" w:type="dxa"/>
              <w:bottom w:w="80" w:type="dxa"/>
              <w:start w:w="120" w:type="dxa"/>
              <w:end w:w="120" w:type="dxa"/>
            </w:tcMar>
          </w:tcPr>
          <w:p>
            <w:pPr>
              <w:pStyle w:val="TechnicalTable"/>
            </w:pPr>
            <w:r>
              <w:t>Attention count through pagination and reasons per dataset</w:t>
            </w:r>
          </w:p>
        </w:tc>
      </w:tr>
      <w:tr>
        <w:trPr>
          <w:cantSplit/>
        </w:trPr>
        <w:tc>
          <w:tcPr>
            <w:tcW w:type="dxa" w:w="5250"/>
            <w:vAlign w:val="center"/>
            <w:tcMar>
              <w:top w:w="80" w:type="dxa"/>
              <w:bottom w:w="80" w:type="dxa"/>
              <w:start w:w="120" w:type="dxa"/>
              <w:end w:w="120" w:type="dxa"/>
            </w:tcMar>
          </w:tcPr>
          <w:p>
            <w:pPr>
              <w:pStyle w:val="TechnicalTable"/>
            </w:pPr>
            <w:r>
              <w:t>GET /api/analytics/quality/summary</w:t>
            </w:r>
          </w:p>
        </w:tc>
        <w:tc>
          <w:tcPr>
            <w:tcW w:type="dxa" w:w="4110"/>
            <w:vAlign w:val="center"/>
            <w:tcMar>
              <w:top w:w="80" w:type="dxa"/>
              <w:bottom w:w="80" w:type="dxa"/>
              <w:start w:w="120" w:type="dxa"/>
              <w:end w:w="120" w:type="dxa"/>
            </w:tcMar>
          </w:tcPr>
          <w:p>
            <w:pPr>
              <w:pStyle w:val="TechnicalTable"/>
            </w:pPr>
            <w:r>
              <w:t>Latest-profile quality averages and passing/failing/unprofiled counts</w:t>
            </w:r>
          </w:p>
        </w:tc>
      </w:tr>
      <w:tr>
        <w:trPr>
          <w:cantSplit/>
        </w:trPr>
        <w:tc>
          <w:tcPr>
            <w:tcW w:type="dxa" w:w="5250"/>
            <w:vAlign w:val="center"/>
            <w:tcMar>
              <w:top w:w="80" w:type="dxa"/>
              <w:bottom w:w="80" w:type="dxa"/>
              <w:start w:w="120" w:type="dxa"/>
              <w:end w:w="120" w:type="dxa"/>
            </w:tcMar>
          </w:tcPr>
          <w:p>
            <w:pPr>
              <w:pStyle w:val="TechnicalTable"/>
            </w:pPr>
            <w:r>
              <w:t>GET /api/analytics/quality/datasets</w:t>
            </w:r>
          </w:p>
        </w:tc>
        <w:tc>
          <w:tcPr>
            <w:tcW w:type="dxa" w:w="4110"/>
            <w:vAlign w:val="center"/>
            <w:tcMar>
              <w:top w:w="80" w:type="dxa"/>
              <w:bottom w:w="80" w:type="dxa"/>
              <w:start w:w="120" w:type="dxa"/>
              <w:end w:w="120" w:type="dxa"/>
            </w:tcMar>
          </w:tcPr>
          <w:p>
            <w:pPr>
              <w:pStyle w:val="TechnicalTable"/>
            </w:pPr>
            <w:r>
              <w:t>Detailed dataset-level scores, applied thresholds and issue counts</w:t>
            </w:r>
          </w:p>
        </w:tc>
      </w:tr>
      <w:tr>
        <w:trPr>
          <w:cantSplit/>
        </w:trPr>
        <w:tc>
          <w:tcPr>
            <w:tcW w:type="dxa" w:w="5250"/>
            <w:vAlign w:val="center"/>
            <w:tcMar>
              <w:top w:w="80" w:type="dxa"/>
              <w:bottom w:w="80" w:type="dxa"/>
              <w:start w:w="120" w:type="dxa"/>
              <w:end w:w="120" w:type="dxa"/>
            </w:tcMar>
          </w:tcPr>
          <w:p>
            <w:pPr>
              <w:pStyle w:val="TechnicalTable"/>
            </w:pPr>
            <w:r>
              <w:t>GET /api/analytics/quality/issues</w:t>
            </w:r>
          </w:p>
        </w:tc>
        <w:tc>
          <w:tcPr>
            <w:tcW w:type="dxa" w:w="4110"/>
            <w:vAlign w:val="center"/>
            <w:tcMar>
              <w:top w:w="80" w:type="dxa"/>
              <w:bottom w:w="80" w:type="dxa"/>
              <w:start w:w="120" w:type="dxa"/>
              <w:end w:w="120" w:type="dxa"/>
            </w:tcMar>
          </w:tcPr>
          <w:p>
            <w:pPr>
              <w:pStyle w:val="TechnicalTable"/>
            </w:pPr>
            <w:r>
              <w:t>Grouped issue type/severity counts, no problematic values</w:t>
            </w:r>
          </w:p>
        </w:tc>
      </w:tr>
      <w:tr>
        <w:trPr>
          <w:cantSplit/>
        </w:trPr>
        <w:tc>
          <w:tcPr>
            <w:tcW w:type="dxa" w:w="5250"/>
            <w:vAlign w:val="center"/>
            <w:tcMar>
              <w:top w:w="80" w:type="dxa"/>
              <w:bottom w:w="80" w:type="dxa"/>
              <w:start w:w="120" w:type="dxa"/>
              <w:end w:w="120" w:type="dxa"/>
            </w:tcMar>
          </w:tcPr>
          <w:p>
            <w:pPr>
              <w:pStyle w:val="TechnicalTable"/>
            </w:pPr>
            <w:r>
              <w:t>GET /api/analytics/quality/trends?Grouping=daily</w:t>
            </w:r>
          </w:p>
        </w:tc>
        <w:tc>
          <w:tcPr>
            <w:tcW w:type="dxa" w:w="4110"/>
            <w:vAlign w:val="center"/>
            <w:tcMar>
              <w:top w:w="80" w:type="dxa"/>
              <w:bottom w:w="80" w:type="dxa"/>
              <w:start w:w="120" w:type="dxa"/>
              <w:end w:w="120" w:type="dxa"/>
            </w:tcMar>
          </w:tcPr>
          <w:p>
            <w:pPr>
              <w:pStyle w:val="TechnicalTable"/>
            </w:pPr>
            <w:r>
              <w:t>Quality time series</w:t>
            </w:r>
          </w:p>
        </w:tc>
      </w:tr>
      <w:tr>
        <w:trPr>
          <w:cantSplit/>
        </w:trPr>
        <w:tc>
          <w:tcPr>
            <w:tcW w:type="dxa" w:w="5250"/>
            <w:vAlign w:val="center"/>
            <w:tcMar>
              <w:top w:w="80" w:type="dxa"/>
              <w:bottom w:w="80" w:type="dxa"/>
              <w:start w:w="120" w:type="dxa"/>
              <w:end w:w="120" w:type="dxa"/>
            </w:tcMar>
          </w:tcPr>
          <w:p>
            <w:pPr>
              <w:pStyle w:val="TechnicalTable"/>
            </w:pPr>
            <w:r>
              <w:t>GET /api/analytics/imports/summary</w:t>
            </w:r>
          </w:p>
        </w:tc>
        <w:tc>
          <w:tcPr>
            <w:tcW w:type="dxa" w:w="4110"/>
            <w:vAlign w:val="center"/>
            <w:tcMar>
              <w:top w:w="80" w:type="dxa"/>
              <w:bottom w:w="80" w:type="dxa"/>
              <w:start w:w="120" w:type="dxa"/>
              <w:end w:w="120" w:type="dxa"/>
            </w:tcMar>
          </w:tcPr>
          <w:p>
            <w:pPr>
              <w:pStyle w:val="TechnicalTable"/>
            </w:pPr>
            <w:r>
              <w:t>Import counts, volumes, rates and average duration</w:t>
            </w:r>
          </w:p>
        </w:tc>
      </w:tr>
      <w:tr>
        <w:trPr>
          <w:cantSplit/>
        </w:trPr>
        <w:tc>
          <w:tcPr>
            <w:tcW w:type="dxa" w:w="5250"/>
            <w:vAlign w:val="center"/>
            <w:tcMar>
              <w:top w:w="80" w:type="dxa"/>
              <w:bottom w:w="80" w:type="dxa"/>
              <w:start w:w="120" w:type="dxa"/>
              <w:end w:w="120" w:type="dxa"/>
            </w:tcMar>
          </w:tcPr>
          <w:p>
            <w:pPr>
              <w:pStyle w:val="TechnicalTable"/>
            </w:pPr>
            <w:r>
              <w:t>GET /api/analytics/imports</w:t>
            </w:r>
          </w:p>
        </w:tc>
        <w:tc>
          <w:tcPr>
            <w:tcW w:type="dxa" w:w="4110"/>
            <w:vAlign w:val="center"/>
            <w:tcMar>
              <w:top w:w="80" w:type="dxa"/>
              <w:bottom w:w="80" w:type="dxa"/>
              <w:start w:w="120" w:type="dxa"/>
              <w:end w:w="120" w:type="dxa"/>
            </w:tcMar>
          </w:tcPr>
          <w:p>
            <w:pPr>
              <w:pStyle w:val="TechnicalTable"/>
            </w:pPr>
            <w:r>
              <w:t>Paginated import activity</w:t>
            </w:r>
          </w:p>
        </w:tc>
      </w:tr>
      <w:tr>
        <w:trPr>
          <w:cantSplit/>
        </w:trPr>
        <w:tc>
          <w:tcPr>
            <w:tcW w:type="dxa" w:w="5250"/>
            <w:vAlign w:val="center"/>
            <w:tcMar>
              <w:top w:w="80" w:type="dxa"/>
              <w:bottom w:w="80" w:type="dxa"/>
              <w:start w:w="120" w:type="dxa"/>
              <w:end w:w="120" w:type="dxa"/>
            </w:tcMar>
          </w:tcPr>
          <w:p>
            <w:pPr>
              <w:pStyle w:val="TechnicalTable"/>
            </w:pPr>
            <w:r>
              <w:t>GET /api/analytics/imports/by-dataset</w:t>
            </w:r>
          </w:p>
        </w:tc>
        <w:tc>
          <w:tcPr>
            <w:tcW w:type="dxa" w:w="4110"/>
            <w:vAlign w:val="center"/>
            <w:tcMar>
              <w:top w:w="80" w:type="dxa"/>
              <w:bottom w:w="80" w:type="dxa"/>
              <w:start w:w="120" w:type="dxa"/>
              <w:end w:w="120" w:type="dxa"/>
            </w:tcMar>
          </w:tcPr>
          <w:p>
            <w:pPr>
              <w:pStyle w:val="TechnicalTable"/>
            </w:pPr>
            <w:r>
              <w:t>Same aggregation as frequent-imports</w:t>
            </w:r>
          </w:p>
        </w:tc>
      </w:tr>
      <w:tr>
        <w:trPr>
          <w:cantSplit/>
        </w:trPr>
        <w:tc>
          <w:tcPr>
            <w:tcW w:type="dxa" w:w="5250"/>
            <w:vAlign w:val="center"/>
            <w:tcMar>
              <w:top w:w="80" w:type="dxa"/>
              <w:bottom w:w="80" w:type="dxa"/>
              <w:start w:w="120" w:type="dxa"/>
              <w:end w:w="120" w:type="dxa"/>
            </w:tcMar>
          </w:tcPr>
          <w:p>
            <w:pPr>
              <w:pStyle w:val="TechnicalTable"/>
            </w:pPr>
            <w:r>
              <w:t>GET /api/analytics/imports/trends?Grouping=monthly</w:t>
            </w:r>
          </w:p>
        </w:tc>
        <w:tc>
          <w:tcPr>
            <w:tcW w:type="dxa" w:w="4110"/>
            <w:vAlign w:val="center"/>
            <w:tcMar>
              <w:top w:w="80" w:type="dxa"/>
              <w:bottom w:w="80" w:type="dxa"/>
              <w:start w:w="120" w:type="dxa"/>
              <w:end w:w="120" w:type="dxa"/>
            </w:tcMar>
          </w:tcPr>
          <w:p>
            <w:pPr>
              <w:pStyle w:val="TechnicalTable"/>
            </w:pPr>
            <w:r>
              <w:t>Import time series</w:t>
            </w:r>
          </w:p>
        </w:tc>
      </w:tr>
      <w:tr>
        <w:trPr>
          <w:cantSplit/>
        </w:trPr>
        <w:tc>
          <w:tcPr>
            <w:tcW w:type="dxa" w:w="5250"/>
            <w:vAlign w:val="center"/>
            <w:tcMar>
              <w:top w:w="80" w:type="dxa"/>
              <w:bottom w:w="80" w:type="dxa"/>
              <w:start w:w="120" w:type="dxa"/>
              <w:end w:w="120" w:type="dxa"/>
            </w:tcMar>
          </w:tcPr>
          <w:p>
            <w:pPr>
              <w:pStyle w:val="TechnicalTable"/>
            </w:pPr>
            <w:r>
              <w:t>GET /api/analytics/workspaces</w:t>
            </w:r>
          </w:p>
        </w:tc>
        <w:tc>
          <w:tcPr>
            <w:tcW w:type="dxa" w:w="4110"/>
            <w:vAlign w:val="center"/>
            <w:tcMar>
              <w:top w:w="80" w:type="dxa"/>
              <w:bottom w:w="80" w:type="dxa"/>
              <w:start w:w="120" w:type="dxa"/>
              <w:end w:w="120" w:type="dxa"/>
            </w:tcMar>
          </w:tcPr>
          <w:p>
            <w:pPr>
              <w:pStyle w:val="TechnicalTable"/>
            </w:pPr>
            <w:r>
              <w:t>Authorized workspace summaries; includes empty workspaces</w:t>
            </w:r>
          </w:p>
        </w:tc>
      </w:tr>
      <w:tr>
        <w:trPr>
          <w:cantSplit/>
        </w:trPr>
        <w:tc>
          <w:tcPr>
            <w:tcW w:type="dxa" w:w="5250"/>
            <w:vAlign w:val="center"/>
            <w:tcMar>
              <w:top w:w="80" w:type="dxa"/>
              <w:bottom w:w="80" w:type="dxa"/>
              <w:start w:w="120" w:type="dxa"/>
              <w:end w:w="120" w:type="dxa"/>
            </w:tcMar>
          </w:tcPr>
          <w:p>
            <w:pPr>
              <w:pStyle w:val="TechnicalTable"/>
            </w:pPr>
            <w:r>
              <w:t>GET /api/analytics/workspaces/{workspaceId}</w:t>
            </w:r>
          </w:p>
        </w:tc>
        <w:tc>
          <w:tcPr>
            <w:tcW w:type="dxa" w:w="4110"/>
            <w:vAlign w:val="center"/>
            <w:tcMar>
              <w:top w:w="80" w:type="dxa"/>
              <w:bottom w:w="80" w:type="dxa"/>
              <w:start w:w="120" w:type="dxa"/>
              <w:end w:w="120" w:type="dxa"/>
            </w:tcMar>
          </w:tcPr>
          <w:p>
            <w:pPr>
              <w:pStyle w:val="TechnicalTable"/>
            </w:pPr>
            <w:r>
              <w:t>Workspace summary plus paginated category distribution</w:t>
            </w:r>
          </w:p>
        </w:tc>
      </w:tr>
      <w:tr>
        <w:trPr>
          <w:cantSplit/>
        </w:trPr>
        <w:tc>
          <w:tcPr>
            <w:tcW w:type="dxa" w:w="5250"/>
            <w:vAlign w:val="center"/>
            <w:tcMar>
              <w:top w:w="80" w:type="dxa"/>
              <w:bottom w:w="80" w:type="dxa"/>
              <w:start w:w="120" w:type="dxa"/>
              <w:end w:w="120" w:type="dxa"/>
            </w:tcMar>
          </w:tcPr>
          <w:p>
            <w:pPr>
              <w:pStyle w:val="TechnicalTable"/>
            </w:pPr>
            <w:r>
              <w:t>GET /api/reports/{reportType}</w:t>
            </w:r>
          </w:p>
        </w:tc>
        <w:tc>
          <w:tcPr>
            <w:tcW w:type="dxa" w:w="4110"/>
            <w:vAlign w:val="center"/>
            <w:tcMar>
              <w:top w:w="80" w:type="dxa"/>
              <w:bottom w:w="80" w:type="dxa"/>
              <w:start w:w="120" w:type="dxa"/>
              <w:end w:w="120" w:type="dxa"/>
            </w:tcMar>
          </w:tcPr>
          <w:p>
            <w:pPr>
              <w:pStyle w:val="TechnicalTable"/>
            </w:pPr>
            <w:r>
              <w:t>Structured report with columns, summary, rows and pagination</w:t>
            </w:r>
          </w:p>
        </w:tc>
      </w:tr>
      <w:tr>
        <w:trPr>
          <w:cantSplit/>
        </w:trPr>
        <w:tc>
          <w:tcPr>
            <w:tcW w:type="dxa" w:w="5250"/>
            <w:vAlign w:val="center"/>
            <w:tcMar>
              <w:top w:w="80" w:type="dxa"/>
              <w:bottom w:w="80" w:type="dxa"/>
              <w:start w:w="120" w:type="dxa"/>
              <w:end w:w="120" w:type="dxa"/>
            </w:tcMar>
          </w:tcPr>
          <w:p>
            <w:pPr>
              <w:pStyle w:val="TechnicalTable"/>
            </w:pPr>
            <w:r>
              <w:t>GET /api/reports/{reportType}/export?Format=csv&amp;Scope=all</w:t>
            </w:r>
          </w:p>
        </w:tc>
        <w:tc>
          <w:tcPr>
            <w:tcW w:type="dxa" w:w="4110"/>
            <w:vAlign w:val="center"/>
            <w:tcMar>
              <w:top w:w="80" w:type="dxa"/>
              <w:bottom w:w="80" w:type="dxa"/>
              <w:start w:w="120" w:type="dxa"/>
              <w:end w:w="120" w:type="dxa"/>
            </w:tcMar>
          </w:tcPr>
          <w:p>
            <w:pPr>
              <w:pStyle w:val="TechnicalTable"/>
            </w:pPr>
            <w:r>
              <w:t>CSV/XLSX download</w:t>
            </w:r>
          </w:p>
        </w:tc>
      </w:tr>
    </w:tbl>
    <w:p>
      <w:pPr>
        <w:pStyle w:val="SourceNote"/>
        <w:spacing w:before="0" w:after="60" w:line="60" w:lineRule="exact"/>
      </w:pPr>
    </w:p>
    <w:p>
      <w:pPr/>
      <w:r>
        <w:t>Dataset scope filters: WorkspaceId, DatasetId, CategoryId, OwnerId, Status and Search (dataset name/code, maximum 200 characters). QualityStatus accepts Passed, Failed, N/A or Unprofiled. ImportStatus is separate from dataset Status; on dataset/quality views it filters the latest import status, and on import endpoints it filters individual imports. Issue aggregates also accept IssueType and Severity.</w:t>
      </w:r>
    </w:p>
    <w:p>
      <w:pPr/>
      <w:r>
        <w:t>SortDirection is asc or desc. Page starts at 1, PageSize defaults to 25 and has a maximum of 100. Invalid paging is rejected rather than silently clamped. Stable ID/group-key tie breakers are applied. An out-of-range page returns an empty collection with the matching total.</w:t>
      </w:r>
    </w:p>
    <w:tbl>
      <w:tblPr>
        <w:tblW w:type="dxa" w:w="9360"/>
        <w:jc w:val="left"/>
        <w:tblLayout w:type="fixed"/>
        <w:tblLook w:firstColumn="1" w:firstRow="1" w:lastColumn="0" w:lastRow="0" w:noHBand="0" w:noVBand="1" w:val="04A0"/>
        <w:tblInd w:type="dxa" w:w="120"/>
        <w:tblBorders>
          <w:top w:val="single" w:sz="4" w:color="CDD7E2"/>
          <w:left w:val="single" w:sz="4" w:color="CDD7E2"/>
          <w:bottom w:val="single" w:sz="4" w:color="CDD7E2"/>
          <w:right w:val="single" w:sz="4" w:color="CDD7E2"/>
          <w:insideH w:val="single" w:sz="4" w:color="CDD7E2"/>
          <w:insideV w:val="single" w:sz="4" w:color="CDD7E2"/>
        </w:tblBorders>
      </w:tblPr>
      <w:tblGrid>
        <w:gridCol w:w="3600"/>
        <w:gridCol w:w="5760"/>
      </w:tblGrid>
      <w:tr>
        <w:trPr>
          <w:cantSplit/>
          <w:tblHeader/>
        </w:trPr>
        <w:tc>
          <w:tcPr>
            <w:tcW w:type="dxa" w:w="3600"/>
            <w:vAlign w:val="center"/>
            <w:shd w:fill="E8EEF5"/>
            <w:tcMar>
              <w:top w:w="80" w:type="dxa"/>
              <w:bottom w:w="80" w:type="dxa"/>
              <w:start w:w="120" w:type="dxa"/>
              <w:end w:w="120" w:type="dxa"/>
            </w:tcMar>
          </w:tcPr>
          <w:p>
            <w:pPr>
              <w:pStyle w:val="TechnicalTable"/>
            </w:pPr>
            <w:r>
              <w:rPr>
                <w:b/>
              </w:rPr>
              <w:t>Collection</w:t>
            </w:r>
          </w:p>
        </w:tc>
        <w:tc>
          <w:tcPr>
            <w:tcW w:type="dxa" w:w="5760"/>
            <w:vAlign w:val="center"/>
            <w:shd w:fill="E8EEF5"/>
            <w:tcMar>
              <w:top w:w="80" w:type="dxa"/>
              <w:bottom w:w="80" w:type="dxa"/>
              <w:start w:w="120" w:type="dxa"/>
              <w:end w:w="120" w:type="dxa"/>
            </w:tcMar>
          </w:tcPr>
          <w:p>
            <w:pPr>
              <w:pStyle w:val="TechnicalTable"/>
            </w:pPr>
            <w:r>
              <w:rPr>
                <w:b/>
              </w:rPr>
              <w:t>SortBy values</w:t>
            </w:r>
          </w:p>
        </w:tc>
      </w:tr>
      <w:tr>
        <w:trPr>
          <w:cantSplit/>
        </w:trPr>
        <w:tc>
          <w:tcPr>
            <w:tcW w:type="dxa" w:w="3600"/>
            <w:vAlign w:val="center"/>
            <w:tcMar>
              <w:top w:w="80" w:type="dxa"/>
              <w:bottom w:w="80" w:type="dxa"/>
              <w:start w:w="120" w:type="dxa"/>
              <w:end w:w="120" w:type="dxa"/>
            </w:tcMar>
          </w:tcPr>
          <w:p>
            <w:pPr>
              <w:pStyle w:val="TechnicalTable"/>
            </w:pPr>
            <w:r>
              <w:t>Dataset/quality/attention</w:t>
            </w:r>
          </w:p>
        </w:tc>
        <w:tc>
          <w:tcPr>
            <w:tcW w:type="dxa" w:w="5760"/>
            <w:vAlign w:val="center"/>
            <w:tcMar>
              <w:top w:w="80" w:type="dxa"/>
              <w:bottom w:w="80" w:type="dxa"/>
              <w:start w:w="120" w:type="dxa"/>
              <w:end w:w="120" w:type="dxa"/>
            </w:tcMar>
          </w:tcPr>
          <w:p>
            <w:pPr>
              <w:pStyle w:val="TechnicalTable"/>
            </w:pPr>
            <w:r>
              <w:t>name, createdAtUtc, updatedAtUtc (default), qualityScore, recordCount, status</w:t>
            </w:r>
          </w:p>
        </w:tc>
      </w:tr>
      <w:tr>
        <w:trPr>
          <w:cantSplit/>
        </w:trPr>
        <w:tc>
          <w:tcPr>
            <w:tcW w:type="dxa" w:w="3600"/>
            <w:vAlign w:val="center"/>
            <w:tcMar>
              <w:top w:w="80" w:type="dxa"/>
              <w:bottom w:w="80" w:type="dxa"/>
              <w:start w:w="120" w:type="dxa"/>
              <w:end w:w="120" w:type="dxa"/>
            </w:tcMar>
          </w:tcPr>
          <w:p>
            <w:pPr>
              <w:pStyle w:val="TechnicalTable"/>
            </w:pPr>
            <w:r>
              <w:t>Dataset distribution</w:t>
            </w:r>
          </w:p>
        </w:tc>
        <w:tc>
          <w:tcPr>
            <w:tcW w:type="dxa" w:w="5760"/>
            <w:vAlign w:val="center"/>
            <w:tcMar>
              <w:top w:w="80" w:type="dxa"/>
              <w:bottom w:w="80" w:type="dxa"/>
              <w:start w:w="120" w:type="dxa"/>
              <w:end w:w="120" w:type="dxa"/>
            </w:tcMar>
          </w:tcPr>
          <w:p>
            <w:pPr>
              <w:pStyle w:val="TechnicalTable"/>
            </w:pPr>
            <w:r>
              <w:t>count (default), label</w:t>
            </w:r>
          </w:p>
        </w:tc>
      </w:tr>
      <w:tr>
        <w:trPr>
          <w:cantSplit/>
        </w:trPr>
        <w:tc>
          <w:tcPr>
            <w:tcW w:type="dxa" w:w="3600"/>
            <w:vAlign w:val="center"/>
            <w:tcMar>
              <w:top w:w="80" w:type="dxa"/>
              <w:bottom w:w="80" w:type="dxa"/>
              <w:start w:w="120" w:type="dxa"/>
              <w:end w:w="120" w:type="dxa"/>
            </w:tcMar>
          </w:tcPr>
          <w:p>
            <w:pPr>
              <w:pStyle w:val="TechnicalTable"/>
            </w:pPr>
            <w:r>
              <w:t>Issue aggregates</w:t>
            </w:r>
          </w:p>
        </w:tc>
        <w:tc>
          <w:tcPr>
            <w:tcW w:type="dxa" w:w="5760"/>
            <w:vAlign w:val="center"/>
            <w:tcMar>
              <w:top w:w="80" w:type="dxa"/>
              <w:bottom w:w="80" w:type="dxa"/>
              <w:start w:w="120" w:type="dxa"/>
              <w:end w:w="120" w:type="dxa"/>
            </w:tcMar>
          </w:tcPr>
          <w:p>
            <w:pPr>
              <w:pStyle w:val="TechnicalTable"/>
            </w:pPr>
            <w:r>
              <w:t>count (default), issueType</w:t>
            </w:r>
          </w:p>
        </w:tc>
      </w:tr>
      <w:tr>
        <w:trPr>
          <w:cantSplit/>
        </w:trPr>
        <w:tc>
          <w:tcPr>
            <w:tcW w:type="dxa" w:w="3600"/>
            <w:vAlign w:val="center"/>
            <w:tcMar>
              <w:top w:w="80" w:type="dxa"/>
              <w:bottom w:w="80" w:type="dxa"/>
              <w:start w:w="120" w:type="dxa"/>
              <w:end w:w="120" w:type="dxa"/>
            </w:tcMar>
          </w:tcPr>
          <w:p>
            <w:pPr>
              <w:pStyle w:val="TechnicalTable"/>
            </w:pPr>
            <w:r>
              <w:t>Imports</w:t>
            </w:r>
          </w:p>
        </w:tc>
        <w:tc>
          <w:tcPr>
            <w:tcW w:type="dxa" w:w="5760"/>
            <w:vAlign w:val="center"/>
            <w:tcMar>
              <w:top w:w="80" w:type="dxa"/>
              <w:bottom w:w="80" w:type="dxa"/>
              <w:start w:w="120" w:type="dxa"/>
              <w:end w:w="120" w:type="dxa"/>
            </w:tcMar>
          </w:tcPr>
          <w:p>
            <w:pPr>
              <w:pStyle w:val="TechnicalTable"/>
            </w:pPr>
            <w:r>
              <w:t>createdAtUtc (default), startedAtUtc, completedAtUtc, recordsProcessed, status, datasetName</w:t>
            </w:r>
          </w:p>
        </w:tc>
      </w:tr>
      <w:tr>
        <w:trPr>
          <w:cantSplit/>
        </w:trPr>
        <w:tc>
          <w:tcPr>
            <w:tcW w:type="dxa" w:w="3600"/>
            <w:vAlign w:val="center"/>
            <w:tcMar>
              <w:top w:w="80" w:type="dxa"/>
              <w:bottom w:w="80" w:type="dxa"/>
              <w:start w:w="120" w:type="dxa"/>
              <w:end w:w="120" w:type="dxa"/>
            </w:tcMar>
          </w:tcPr>
          <w:p>
            <w:pPr>
              <w:pStyle w:val="TechnicalTable"/>
            </w:pPr>
            <w:r>
              <w:t>Imports by dataset</w:t>
            </w:r>
          </w:p>
        </w:tc>
        <w:tc>
          <w:tcPr>
            <w:tcW w:type="dxa" w:w="5760"/>
            <w:vAlign w:val="center"/>
            <w:tcMar>
              <w:top w:w="80" w:type="dxa"/>
              <w:bottom w:w="80" w:type="dxa"/>
              <w:start w:w="120" w:type="dxa"/>
              <w:end w:w="120" w:type="dxa"/>
            </w:tcMar>
          </w:tcPr>
          <w:p>
            <w:pPr>
              <w:pStyle w:val="TechnicalTable"/>
            </w:pPr>
            <w:r>
              <w:t>importCount (default), datasetName, recordsProcessed</w:t>
            </w:r>
          </w:p>
        </w:tc>
      </w:tr>
      <w:tr>
        <w:trPr>
          <w:cantSplit/>
        </w:trPr>
        <w:tc>
          <w:tcPr>
            <w:tcW w:type="dxa" w:w="3600"/>
            <w:vAlign w:val="center"/>
            <w:tcMar>
              <w:top w:w="80" w:type="dxa"/>
              <w:bottom w:w="80" w:type="dxa"/>
              <w:start w:w="120" w:type="dxa"/>
              <w:end w:w="120" w:type="dxa"/>
            </w:tcMar>
          </w:tcPr>
          <w:p>
            <w:pPr>
              <w:pStyle w:val="TechnicalTable"/>
            </w:pPr>
            <w:r>
              <w:t>Data processing report</w:t>
            </w:r>
          </w:p>
        </w:tc>
        <w:tc>
          <w:tcPr>
            <w:tcW w:type="dxa" w:w="5760"/>
            <w:vAlign w:val="center"/>
            <w:tcMar>
              <w:top w:w="80" w:type="dxa"/>
              <w:bottom w:w="80" w:type="dxa"/>
              <w:start w:w="120" w:type="dxa"/>
              <w:end w:w="120" w:type="dxa"/>
            </w:tcMar>
          </w:tcPr>
          <w:p>
            <w:pPr>
              <w:pStyle w:val="TechnicalTable"/>
            </w:pPr>
            <w:r>
              <w:t>recordsProcessed (default), datasetName, importCount</w:t>
            </w:r>
          </w:p>
        </w:tc>
      </w:tr>
      <w:tr>
        <w:trPr>
          <w:cantSplit/>
        </w:trPr>
        <w:tc>
          <w:tcPr>
            <w:tcW w:type="dxa" w:w="3600"/>
            <w:vAlign w:val="center"/>
            <w:tcMar>
              <w:top w:w="80" w:type="dxa"/>
              <w:bottom w:w="80" w:type="dxa"/>
              <w:start w:w="120" w:type="dxa"/>
              <w:end w:w="120" w:type="dxa"/>
            </w:tcMar>
          </w:tcPr>
          <w:p>
            <w:pPr>
              <w:pStyle w:val="TechnicalTable"/>
            </w:pPr>
            <w:r>
              <w:t>Workspaces</w:t>
            </w:r>
          </w:p>
        </w:tc>
        <w:tc>
          <w:tcPr>
            <w:tcW w:type="dxa" w:w="5760"/>
            <w:vAlign w:val="center"/>
            <w:tcMar>
              <w:top w:w="80" w:type="dxa"/>
              <w:bottom w:w="80" w:type="dxa"/>
              <w:start w:w="120" w:type="dxa"/>
              <w:end w:w="120" w:type="dxa"/>
            </w:tcMar>
          </w:tcPr>
          <w:p>
            <w:pPr>
              <w:pStyle w:val="TechnicalTable"/>
            </w:pPr>
            <w:r>
              <w:t>workspaceName (default), datasetCount, qualityScore</w:t>
            </w:r>
          </w:p>
        </w:tc>
      </w:tr>
      <w:tr>
        <w:trPr>
          <w:cantSplit/>
        </w:trPr>
        <w:tc>
          <w:tcPr>
            <w:tcW w:type="dxa" w:w="3600"/>
            <w:vAlign w:val="center"/>
            <w:tcMar>
              <w:top w:w="80" w:type="dxa"/>
              <w:bottom w:w="80" w:type="dxa"/>
              <w:start w:w="120" w:type="dxa"/>
              <w:end w:w="120" w:type="dxa"/>
            </w:tcMar>
          </w:tcPr>
          <w:p>
            <w:pPr>
              <w:pStyle w:val="TechnicalTable"/>
            </w:pPr>
            <w:r>
              <w:t>Trends</w:t>
            </w:r>
          </w:p>
        </w:tc>
        <w:tc>
          <w:tcPr>
            <w:tcW w:type="dxa" w:w="5760"/>
            <w:vAlign w:val="center"/>
            <w:tcMar>
              <w:top w:w="80" w:type="dxa"/>
              <w:bottom w:w="80" w:type="dxa"/>
              <w:start w:w="120" w:type="dxa"/>
              <w:end w:w="120" w:type="dxa"/>
            </w:tcMar>
          </w:tcPr>
          <w:p>
            <w:pPr>
              <w:pStyle w:val="TechnicalTable"/>
            </w:pPr>
            <w:r>
              <w:t>bucketUtc</w:t>
            </w:r>
          </w:p>
        </w:tc>
      </w:tr>
    </w:tbl>
    <w:p>
      <w:pPr>
        <w:pStyle w:val="SourceNote"/>
        <w:spacing w:before="0" w:after="60" w:line="60" w:lineRule="exact"/>
      </w:pPr>
    </w:p>
    <w:p>
      <w:pPr/>
      <w:r>
        <w:t>Status enum values are case-sensitive as documented; grouping/sort option values use the documented lowercase forms. Unknown GUID filters for category/owner can validly yield no rows. A specifically requested inaccessible/missing dataset returns 404; cross-workspace requests by non-platform users return 403. Dataset and workspace filters must match.</w:t>
      </w:r>
    </w:p>
    <w:p>
      <w:pPr>
        <w:pStyle w:val="Heading2"/>
        <w:keepNext/>
      </w:pPr>
      <w:r>
        <w:t>Reports and export contract</w:t>
      </w:r>
    </w:p>
    <w:tbl>
      <w:tblPr>
        <w:tblW w:type="dxa" w:w="9360"/>
        <w:jc w:val="left"/>
        <w:tblLayout w:type="fixed"/>
        <w:tblLook w:firstColumn="1" w:firstRow="1" w:lastColumn="0" w:lastRow="0" w:noHBand="0" w:noVBand="1" w:val="04A0"/>
        <w:tblInd w:type="dxa" w:w="120"/>
        <w:tblBorders>
          <w:top w:val="single" w:sz="4" w:color="CDD7E2"/>
          <w:left w:val="single" w:sz="4" w:color="CDD7E2"/>
          <w:bottom w:val="single" w:sz="4" w:color="CDD7E2"/>
          <w:right w:val="single" w:sz="4" w:color="CDD7E2"/>
          <w:insideH w:val="single" w:sz="4" w:color="CDD7E2"/>
          <w:insideV w:val="single" w:sz="4" w:color="CDD7E2"/>
        </w:tblBorders>
      </w:tblPr>
      <w:tblGrid>
        <w:gridCol w:w="3600"/>
        <w:gridCol w:w="5760"/>
      </w:tblGrid>
      <w:tr>
        <w:trPr>
          <w:cantSplit/>
          <w:tblHeader/>
        </w:trPr>
        <w:tc>
          <w:tcPr>
            <w:tcW w:type="dxa" w:w="3600"/>
            <w:vAlign w:val="center"/>
            <w:shd w:fill="E8EEF5"/>
            <w:tcMar>
              <w:top w:w="80" w:type="dxa"/>
              <w:bottom w:w="80" w:type="dxa"/>
              <w:start w:w="120" w:type="dxa"/>
              <w:end w:w="120" w:type="dxa"/>
            </w:tcMar>
          </w:tcPr>
          <w:p>
            <w:pPr>
              <w:pStyle w:val="TechnicalTable"/>
            </w:pPr>
            <w:r>
              <w:rPr>
                <w:b/>
              </w:rPr>
              <w:t>ReportType</w:t>
            </w:r>
          </w:p>
        </w:tc>
        <w:tc>
          <w:tcPr>
            <w:tcW w:type="dxa" w:w="5760"/>
            <w:vAlign w:val="center"/>
            <w:shd w:fill="E8EEF5"/>
            <w:tcMar>
              <w:top w:w="80" w:type="dxa"/>
              <w:bottom w:w="80" w:type="dxa"/>
              <w:start w:w="120" w:type="dxa"/>
              <w:end w:w="120" w:type="dxa"/>
            </w:tcMar>
          </w:tcPr>
          <w:p>
            <w:pPr>
              <w:pStyle w:val="TechnicalTable"/>
            </w:pPr>
            <w:r>
              <w:rPr>
                <w:b/>
              </w:rPr>
              <w:t>Row granularity and principal columns</w:t>
            </w:r>
          </w:p>
        </w:tc>
      </w:tr>
      <w:tr>
        <w:trPr>
          <w:cantSplit/>
        </w:trPr>
        <w:tc>
          <w:tcPr>
            <w:tcW w:type="dxa" w:w="3600"/>
            <w:vAlign w:val="center"/>
            <w:tcMar>
              <w:top w:w="80" w:type="dxa"/>
              <w:bottom w:w="80" w:type="dxa"/>
              <w:start w:w="120" w:type="dxa"/>
              <w:end w:w="120" w:type="dxa"/>
            </w:tcMar>
          </w:tcPr>
          <w:p>
            <w:pPr>
              <w:pStyle w:val="TechnicalTable"/>
            </w:pPr>
            <w:r>
              <w:t>dataset-summary</w:t>
            </w:r>
          </w:p>
        </w:tc>
        <w:tc>
          <w:tcPr>
            <w:tcW w:type="dxa" w:w="5760"/>
            <w:vAlign w:val="center"/>
            <w:tcMar>
              <w:top w:w="80" w:type="dxa"/>
              <w:bottom w:w="80" w:type="dxa"/>
              <w:start w:w="120" w:type="dxa"/>
              <w:end w:w="120" w:type="dxa"/>
            </w:tcMar>
          </w:tcPr>
          <w:p>
            <w:pPr>
              <w:pStyle w:val="TechnicalTable"/>
            </w:pPr>
            <w:r>
              <w:t>One dataset: IDs/code/name/workspace/category/owner/status, current records, quality score, attention/reasons, created/updated UTC</w:t>
            </w:r>
          </w:p>
        </w:tc>
      </w:tr>
      <w:tr>
        <w:trPr>
          <w:cantSplit/>
        </w:trPr>
        <w:tc>
          <w:tcPr>
            <w:tcW w:type="dxa" w:w="3600"/>
            <w:vAlign w:val="center"/>
            <w:tcMar>
              <w:top w:w="80" w:type="dxa"/>
              <w:bottom w:w="80" w:type="dxa"/>
              <w:start w:w="120" w:type="dxa"/>
              <w:end w:w="120" w:type="dxa"/>
            </w:tcMar>
          </w:tcPr>
          <w:p>
            <w:pPr>
              <w:pStyle w:val="TechnicalTable"/>
            </w:pPr>
            <w:r>
              <w:t>data-quality</w:t>
            </w:r>
          </w:p>
        </w:tc>
        <w:tc>
          <w:tcPr>
            <w:tcW w:type="dxa" w:w="5760"/>
            <w:vAlign w:val="center"/>
            <w:tcMar>
              <w:top w:w="80" w:type="dxa"/>
              <w:bottom w:w="80" w:type="dxa"/>
              <w:start w:w="120" w:type="dxa"/>
              <w:end w:w="120" w:type="dxa"/>
            </w:tcMar>
          </w:tcPr>
          <w:p>
            <w:pPr>
              <w:pStyle w:val="TechnicalTable"/>
            </w:pPr>
            <w:r>
              <w:t>One dataset: latest run/time, all five scores, stored applied thresholds, threshold status, issue/invalid-cell counts, attention reasons, scoring version</w:t>
            </w:r>
          </w:p>
        </w:tc>
      </w:tr>
      <w:tr>
        <w:trPr>
          <w:cantSplit/>
        </w:trPr>
        <w:tc>
          <w:tcPr>
            <w:tcW w:type="dxa" w:w="3600"/>
            <w:vAlign w:val="center"/>
            <w:tcMar>
              <w:top w:w="80" w:type="dxa"/>
              <w:bottom w:w="80" w:type="dxa"/>
              <w:start w:w="120" w:type="dxa"/>
              <w:end w:w="120" w:type="dxa"/>
            </w:tcMar>
          </w:tcPr>
          <w:p>
            <w:pPr>
              <w:pStyle w:val="TechnicalTable"/>
            </w:pPr>
            <w:r>
              <w:t>import-activity</w:t>
            </w:r>
          </w:p>
        </w:tc>
        <w:tc>
          <w:tcPr>
            <w:tcW w:type="dxa" w:w="5760"/>
            <w:vAlign w:val="center"/>
            <w:tcMar>
              <w:top w:w="80" w:type="dxa"/>
              <w:bottom w:w="80" w:type="dxa"/>
              <w:start w:w="120" w:type="dxa"/>
              <w:end w:w="120" w:type="dxa"/>
            </w:tcMar>
          </w:tcPr>
          <w:p>
            <w:pPr>
              <w:pStyle w:val="TechnicalTable"/>
            </w:pPr>
            <w:r>
              <w:t>One import: IDs/workspace/dataset/mode/status, attempted/success/rejection/processed/unaccounted counts, statistics completeness, processing duration, initiator, timestamps</w:t>
            </w:r>
          </w:p>
        </w:tc>
      </w:tr>
      <w:tr>
        <w:trPr>
          <w:cantSplit/>
        </w:trPr>
        <w:tc>
          <w:tcPr>
            <w:tcW w:type="dxa" w:w="3600"/>
            <w:vAlign w:val="center"/>
            <w:tcMar>
              <w:top w:w="80" w:type="dxa"/>
              <w:bottom w:w="80" w:type="dxa"/>
              <w:start w:w="120" w:type="dxa"/>
              <w:end w:w="120" w:type="dxa"/>
            </w:tcMar>
          </w:tcPr>
          <w:p>
            <w:pPr>
              <w:pStyle w:val="TechnicalTable"/>
            </w:pPr>
            <w:r>
              <w:t>data-processing</w:t>
            </w:r>
          </w:p>
        </w:tc>
        <w:tc>
          <w:tcPr>
            <w:tcW w:type="dxa" w:w="5760"/>
            <w:vAlign w:val="center"/>
            <w:tcMar>
              <w:top w:w="80" w:type="dxa"/>
              <w:bottom w:w="80" w:type="dxa"/>
              <w:start w:w="120" w:type="dxa"/>
              <w:end w:w="120" w:type="dxa"/>
            </w:tcMar>
          </w:tcPr>
          <w:p>
            <w:pPr>
              <w:pStyle w:val="TechnicalTable"/>
            </w:pPr>
            <w:r>
              <w:t>One dataset with matching imports: import lifecycle counts, record-volume metrics, rates and average duration</w:t>
            </w:r>
          </w:p>
        </w:tc>
      </w:tr>
      <w:tr>
        <w:trPr>
          <w:cantSplit/>
        </w:trPr>
        <w:tc>
          <w:tcPr>
            <w:tcW w:type="dxa" w:w="3600"/>
            <w:vAlign w:val="center"/>
            <w:tcMar>
              <w:top w:w="80" w:type="dxa"/>
              <w:bottom w:w="80" w:type="dxa"/>
              <w:start w:w="120" w:type="dxa"/>
              <w:end w:w="120" w:type="dxa"/>
            </w:tcMar>
          </w:tcPr>
          <w:p>
            <w:pPr>
              <w:pStyle w:val="TechnicalTable"/>
            </w:pPr>
            <w:r>
              <w:t>workspace-summary</w:t>
            </w:r>
          </w:p>
        </w:tc>
        <w:tc>
          <w:tcPr>
            <w:tcW w:type="dxa" w:w="5760"/>
            <w:vAlign w:val="center"/>
            <w:tcMar>
              <w:top w:w="80" w:type="dxa"/>
              <w:bottom w:w="80" w:type="dxa"/>
              <w:start w:w="120" w:type="dxa"/>
              <w:end w:w="120" w:type="dxa"/>
            </w:tcMar>
          </w:tcPr>
          <w:p>
            <w:pPr>
              <w:pStyle w:val="TechnicalTable"/>
            </w:pPr>
            <w:r>
              <w:t>One accessible workspace: inventory, quality/attention/issues and import/processing metrics</w:t>
            </w:r>
          </w:p>
        </w:tc>
      </w:tr>
    </w:tbl>
    <w:p>
      <w:pPr>
        <w:pStyle w:val="SourceNote"/>
        <w:spacing w:before="0" w:after="60" w:line="60" w:lineRule="exact"/>
      </w:pPr>
    </w:p>
    <w:p>
      <w:pPr/>
      <w:r>
        <w:t>Each JSON report includes machine-readable columns with Key, Header and Type, a summary over the full filtered result set, and the requested detail page. Workspace category distributions are provided by the workspace detail/distribution APIs, not expanded into unbounded nested report rows.</w:t>
      </w:r>
    </w:p>
    <w:p>
      <w:pPr/>
      <w:r>
        <w:t>All five reports export as CSV and XLSX. Scope=all ignores Page/PageSize and exports the full matching set up to Analytics:MaxExportRows (default 10,000; hard maximum 100,000). Larger results return 413 ExportLimitExceeded; no silent truncation. Scope=page exports exactly the requested page with the same maximum page size of 100. An extra-row read catches growth beyond the cap between counting and reading.</w:t>
      </w:r>
    </w:p>
    <w:p>
      <w:pPr/>
      <w:r>
        <w:t>CSV is a single consistent header/detail table, UTF-8 with BOM and RFC-style quote escaping. Summary information stays in the JSON report and response headers; CSV does not mix differently shaped summary rows into the detail table. Excel has Summary and Details sheets, explicit numeric/boolean cells, UTC ISO timestamp strings, bold headers, frozen first rows, column widths and filters. Empty exports still contain headers.</w:t>
      </w:r>
    </w:p>
    <w:p>
      <w:pPr/>
      <w:r>
        <w:t>Untrusted CSV strings starting with formula/control prefixes are prefixed with an apostrophe. Excel strings are inline text, never formulas. Exports contain no stored invalid values, raw dataset records, passwords or file paths. Export metadata headers: X-Report-Row-Count, X-Report-Total-Count, X-Report-Scope, X-Report-Timezone. File responses are binary and intentionally do not use a JSON wrapper.</w:t>
      </w:r>
    </w:p>
    <w:p>
      <w:pPr/>
      <w:r>
        <w:t>Reports use live read-committed queries, not a transactionally frozen snapshot across every summary/detail query. Concurrent updates may change counts between queries; narrowing the filter or regenerating the report resolves that. Point-in-time report persistence is outside this task.</w:t>
      </w:r>
    </w:p>
    <w:p>
      <w:pPr>
        <w:pStyle w:val="Heading2"/>
        <w:keepNext/>
      </w:pPr>
      <w:r>
        <w:t>Response contract</w:t>
      </w:r>
    </w:p>
    <w:p>
      <w:pPr/>
      <w:r>
        <w:t>Only /api/analytics and /api/reports use:</w:t>
      </w:r>
    </w:p>
    <w:p>
      <w:pPr>
        <w:pStyle w:val="TechnicalCode"/>
        <w:keepNext/>
        <w:spacing w:before="60" w:after="0"/>
        <w:shd w:fill="F4F6F9"/>
      </w:pPr>
      <w:r>
        <w:rPr>
          <w:rFonts w:ascii="DejaVu Sans Mono" w:hAnsi="DejaVu Sans Mono" w:eastAsia="DejaVu Sans Mono" w:cs="DejaVu Sans Mono"/>
        </w:rPr>
        <w:t>{</w:t>
      </w:r>
    </w:p>
    <w:p>
      <w:pPr>
        <w:pStyle w:val="TechnicalCode"/>
        <w:keepNext/>
        <w:spacing w:before="0" w:after="0"/>
        <w:shd w:fill="F4F6F9"/>
      </w:pPr>
      <w:r>
        <w:rPr>
          <w:rFonts w:ascii="DejaVu Sans Mono" w:hAnsi="DejaVu Sans Mono" w:eastAsia="DejaVu Sans Mono" w:cs="DejaVu Sans Mono"/>
        </w:rPr>
        <w:t xml:space="preserve">  "success": true,</w:t>
      </w:r>
    </w:p>
    <w:p>
      <w:pPr>
        <w:pStyle w:val="TechnicalCode"/>
        <w:keepNext/>
        <w:spacing w:before="0" w:after="0"/>
        <w:shd w:fill="F4F6F9"/>
      </w:pPr>
      <w:r>
        <w:rPr>
          <w:rFonts w:ascii="DejaVu Sans Mono" w:hAnsi="DejaVu Sans Mono" w:eastAsia="DejaVu Sans Mono" w:cs="DejaVu Sans Mono"/>
        </w:rPr>
        <w:t xml:space="preserve">  "data": [],</w:t>
      </w:r>
    </w:p>
    <w:p>
      <w:pPr>
        <w:pStyle w:val="TechnicalCode"/>
        <w:keepNext/>
        <w:spacing w:before="0" w:after="0"/>
        <w:shd w:fill="F4F6F9"/>
      </w:pPr>
      <w:r>
        <w:rPr>
          <w:rFonts w:ascii="DejaVu Sans Mono" w:hAnsi="DejaVu Sans Mono" w:eastAsia="DejaVu Sans Mono" w:cs="DejaVu Sans Mono"/>
        </w:rPr>
        <w:t xml:space="preserve">  "metadata": {</w:t>
      </w:r>
    </w:p>
    <w:p>
      <w:pPr>
        <w:pStyle w:val="TechnicalCode"/>
        <w:keepNext/>
        <w:spacing w:before="0" w:after="0"/>
        <w:shd w:fill="F4F6F9"/>
      </w:pPr>
      <w:r>
        <w:rPr>
          <w:rFonts w:ascii="DejaVu Sans Mono" w:hAnsi="DejaVu Sans Mono" w:eastAsia="DejaVu Sans Mono" w:cs="DejaVu Sans Mono"/>
        </w:rPr>
        <w:t xml:space="preserve">    "generatedAtUtc": "2026-08-31T12:00:00Z",</w:t>
      </w:r>
    </w:p>
    <w:p>
      <w:pPr>
        <w:pStyle w:val="TechnicalCode"/>
        <w:keepNext/>
        <w:spacing w:before="0" w:after="0"/>
        <w:shd w:fill="F4F6F9"/>
      </w:pPr>
      <w:r>
        <w:rPr>
          <w:rFonts w:ascii="DejaVu Sans Mono" w:hAnsi="DejaVu Sans Mono" w:eastAsia="DejaVu Sans Mono" w:cs="DejaVu Sans Mono"/>
        </w:rPr>
        <w:t xml:space="preserve">    "timezone": "UTC",</w:t>
      </w:r>
    </w:p>
    <w:p>
      <w:pPr>
        <w:pStyle w:val="TechnicalCode"/>
        <w:keepNext/>
        <w:spacing w:before="0" w:after="0"/>
        <w:shd w:fill="F4F6F9"/>
      </w:pPr>
      <w:r>
        <w:rPr>
          <w:rFonts w:ascii="DejaVu Sans Mono" w:hAnsi="DejaVu Sans Mono" w:eastAsia="DejaVu Sans Mono" w:cs="DejaVu Sans Mono"/>
        </w:rPr>
        <w:t xml:space="preserve">    "traceId": "request-trace",</w:t>
      </w:r>
    </w:p>
    <w:p>
      <w:pPr>
        <w:pStyle w:val="TechnicalCode"/>
        <w:keepNext/>
        <w:spacing w:before="0" w:after="0"/>
        <w:shd w:fill="F4F6F9"/>
      </w:pPr>
      <w:r>
        <w:rPr>
          <w:rFonts w:ascii="DejaVu Sans Mono" w:hAnsi="DejaVu Sans Mono" w:eastAsia="DejaVu Sans Mono" w:cs="DejaVu Sans Mono"/>
        </w:rPr>
        <w:t xml:space="preserve">    "filters": { "page": "1", "pageSize": "25", "sortDirection": "desc" }</w:t>
      </w:r>
    </w:p>
    <w:p>
      <w:pPr>
        <w:pStyle w:val="TechnicalCode"/>
        <w:keepNext/>
        <w:spacing w:before="0" w:after="0"/>
        <w:shd w:fill="F4F6F9"/>
      </w:pPr>
      <w:r>
        <w:rPr>
          <w:rFonts w:ascii="DejaVu Sans Mono" w:hAnsi="DejaVu Sans Mono" w:eastAsia="DejaVu Sans Mono" w:cs="DejaVu Sans Mono"/>
        </w:rPr>
        <w:t xml:space="preserve">  },</w:t>
      </w:r>
    </w:p>
    <w:p>
      <w:pPr>
        <w:pStyle w:val="TechnicalCode"/>
        <w:keepNext/>
        <w:spacing w:before="0" w:after="0"/>
        <w:shd w:fill="F4F6F9"/>
      </w:pPr>
      <w:r>
        <w:rPr>
          <w:rFonts w:ascii="DejaVu Sans Mono" w:hAnsi="DejaVu Sans Mono" w:eastAsia="DejaVu Sans Mono" w:cs="DejaVu Sans Mono"/>
        </w:rPr>
        <w:t xml:space="preserve">  "pagination": { "page": 1, "pageSize": 25, "totalCount": 0, "totalPages": 0 },</w:t>
      </w:r>
    </w:p>
    <w:p>
      <w:pPr>
        <w:pStyle w:val="TechnicalCode"/>
        <w:keepNext/>
        <w:spacing w:before="0" w:after="0"/>
        <w:shd w:fill="F4F6F9"/>
      </w:pPr>
      <w:r>
        <w:rPr>
          <w:rFonts w:ascii="DejaVu Sans Mono" w:hAnsi="DejaVu Sans Mono" w:eastAsia="DejaVu Sans Mono" w:cs="DejaVu Sans Mono"/>
        </w:rPr>
        <w:t xml:space="preserve">  "error": null</w:t>
      </w:r>
    </w:p>
    <w:p>
      <w:pPr>
        <w:pStyle w:val="TechnicalCode"/>
        <w:keepNext w:val="0"/>
        <w:spacing w:before="0" w:after="140"/>
        <w:shd w:fill="F4F6F9"/>
      </w:pPr>
      <w:r>
        <w:rPr>
          <w:rFonts w:ascii="DejaVu Sans Mono" w:hAnsi="DejaVu Sans Mono" w:eastAsia="DejaVu Sans Mono" w:cs="DejaVu Sans Mono"/>
        </w:rPr>
        <w:t>}</w:t>
      </w:r>
    </w:p>
    <w:p>
      <w:pPr/>
      <w:r>
        <w:t>Summary endpoints have pagination=null. Errors retain the same shape with success=false, data=null and error={code,message,details}. HTTP 400 covers binding/validation, 401 missing authentication, 403 denied permissions/workspace, 404 unavailable specific resources, 413 oversized exports, and 500 unexpected failures. No stack traces are returned. Valid empty collections/summaries return 200 with zeros and null unavailable rates/scores.</w:t>
      </w:r>
    </w:p>
    <w:p>
      <w:pPr/>
      <w:r>
        <w:t>Existing API response bodies, validation responses, routes and quality-profile endpoints are unchanged. The new route-scoped middleware and conditional model-validation factory preserve that boundary.</w:t>
      </w:r>
    </w:p>
    <w:p>
      <w:pPr>
        <w:pStyle w:val="Heading2"/>
        <w:keepNext/>
      </w:pPr>
      <w:r>
        <w:t>Query efficiency</w:t>
      </w:r>
    </w:p>
    <w:p>
      <w:pPr/>
      <w:r>
        <w:t>SQL aggregation, projections, COUNT_BIG/SUM(bigint), database-side sorting/paging and covering indexes support read-heavy access. Grouped quality SQL uses ROW_NUMBER with parameterized dates/workspace; the only interpolated identifier is selected from a fixed grouping whitelist. There is no raw SQL from user sort/filter strings.</w:t>
      </w:r>
    </w:p>
    <w:p>
      <w:pPr>
        <w:pStyle w:val="Heading1"/>
        <w:keepNext/>
        <w:pageBreakBefore/>
      </w:pPr>
      <w:r>
        <w:t>Data lineage and impact analysis</w:t>
      </w:r>
    </w:p>
    <w:p>
      <w:pPr>
        <w:pStyle w:val="Heading2"/>
        <w:keepNext/>
      </w:pPr>
      <w:r>
        <w:t>Scope and architecture</w:t>
      </w:r>
    </w:p>
    <w:p>
      <w:r>
        <w:t>The lineage module adds a version-aware lineage graph to the existing ASP.NET Core application and service layer. The normalized dbo.LineageRelationships table stores graph edges. Nodes are projected from existing datasets, dataset versions, uploaded files, imports, transformation configurations and quality-profile runs, together with lightweight data-source references derived from the source fields already stored on a dataset.</w:t>
      </w:r>
    </w:p>
    <w:p>
      <w:r>
        <w:t>The module does not create a separate application, DataSources table, stored report node or SQL view. Because Analytics reports are generated dynamically, they are not persisted as downstream lineage assets. Automatic capture begins for new activities after lineage deployment; historical activities are not backfilled.</w:t>
      </w:r>
    </w:p>
    <w:p>
      <w:pPr>
        <w:pStyle w:val="Heading2"/>
        <w:keepNext/>
      </w:pPr>
      <w:r>
        <w:t>Lineage relationship model</w:t>
      </w:r>
    </w:p>
    <w:p>
      <w:r>
        <w:t>Each relationship preserves workspace, owning dataset and owner context; source and target types, identifiers, dataset identifiers, display-name snapshots and version snapshots; relationship and optional process details; JSON metadata; automatic/manual and active/inactive flags; and create, update and deactivation audit fields. The optional RelevantDatasetVersionId links an activity to the metadata/schema version current when that activity occurred.</w:t>
      </w:r>
    </w:p>
    <w:p>
      <w:r>
        <w:t>Supported entity types are DataSource, Dataset, DatasetVersion, SourceFile, Import, Transformation and QualityProfile. A lightweight DataSource identifier is a deterministic SHA-256-derived GUID based on workspace, source type and source name, preventing identical text in different workspaces from becoming the same node.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cantSplit/>
        </w:trPr>
        <w:tc>
          <w:tcPr>
            <w:tcW w:type="dxa" w:w="2232"/>
            <w:tcMar>
              <w:top w:w="80" w:type="dxa"/>
              <w:start w:w="120" w:type="dxa"/>
              <w:bottom w:w="80" w:type="dxa"/>
              <w:end w:w="120" w:type="dxa"/>
            </w:tcMar>
            <w:vAlign w:val="center"/>
            <w:shd w:fill="17365D"/>
          </w:tcPr>
          <w:p>
            <w:pPr>
              <w:spacing w:before="0" w:after="0" w:line="252" w:lineRule="auto"/>
            </w:pPr>
            <w:r>
              <w:rPr>
                <w:rFonts w:ascii="Aptos" w:hAnsi="Aptos"/>
                <w:b/>
                <w:color w:val="FFFFFF"/>
                <w:sz w:val="17"/>
              </w:rPr>
              <w:t>Relationship</w:t>
            </w:r>
          </w:p>
        </w:tc>
        <w:tc>
          <w:tcPr>
            <w:tcW w:type="dxa" w:w="4680"/>
            <w:tcMar>
              <w:top w:w="80" w:type="dxa"/>
              <w:start w:w="120" w:type="dxa"/>
              <w:bottom w:w="80" w:type="dxa"/>
              <w:end w:w="120" w:type="dxa"/>
            </w:tcMar>
            <w:vAlign w:val="center"/>
            <w:shd w:fill="17365D"/>
          </w:tcPr>
          <w:p>
            <w:pPr>
              <w:spacing w:before="0" w:after="0" w:line="252" w:lineRule="auto"/>
            </w:pPr>
            <w:r>
              <w:rPr>
                <w:rFonts w:ascii="Aptos" w:hAnsi="Aptos"/>
                <w:b/>
                <w:color w:val="FFFFFF"/>
                <w:sz w:val="17"/>
              </w:rPr>
              <w:t>Direction</w:t>
            </w:r>
          </w:p>
        </w:tc>
        <w:tc>
          <w:tcPr>
            <w:tcW w:type="dxa" w:w="2088"/>
            <w:tcMar>
              <w:top w:w="80" w:type="dxa"/>
              <w:start w:w="120" w:type="dxa"/>
              <w:bottom w:w="80" w:type="dxa"/>
              <w:end w:w="120" w:type="dxa"/>
            </w:tcMar>
            <w:vAlign w:val="center"/>
            <w:shd w:fill="17365D"/>
          </w:tcPr>
          <w:p>
            <w:pPr>
              <w:spacing w:before="0" w:after="0" w:line="252" w:lineRule="auto"/>
            </w:pPr>
            <w:r>
              <w:rPr>
                <w:rFonts w:ascii="Aptos" w:hAnsi="Aptos"/>
                <w:b/>
                <w:color w:val="FFFFFF"/>
                <w:sz w:val="17"/>
              </w:rPr>
              <w:t>Capture</w:t>
            </w:r>
          </w:p>
        </w:tc>
      </w:tr>
      <w:tr>
        <w:trPr>
          <w:cantSplit/>
        </w:trPr>
        <w:tc>
          <w:tcPr>
            <w:tcW w:type="dxa" w:w="2232"/>
            <w:tcMar>
              <w:top w:w="80" w:type="dxa"/>
              <w:start w:w="120" w:type="dxa"/>
              <w:bottom w:w="80" w:type="dxa"/>
              <w:end w:w="120" w:type="dxa"/>
            </w:tcMar>
            <w:vAlign w:val="center"/>
            <w:shd w:fill="FFFFFF"/>
          </w:tcPr>
          <w:p>
            <w:pPr>
              <w:spacing w:before="0" w:after="0" w:line="252" w:lineRule="auto"/>
            </w:pPr>
            <w:r>
              <w:rPr>
                <w:rFonts w:ascii="Aptos" w:hAnsi="Aptos"/>
                <w:sz w:val="17"/>
              </w:rPr>
              <w:t>VersionOf</w:t>
            </w:r>
          </w:p>
        </w:tc>
        <w:tc>
          <w:tcPr>
            <w:tcW w:type="dxa" w:w="4680"/>
            <w:tcMar>
              <w:top w:w="80" w:type="dxa"/>
              <w:start w:w="120" w:type="dxa"/>
              <w:bottom w:w="80" w:type="dxa"/>
              <w:end w:w="120" w:type="dxa"/>
            </w:tcMar>
            <w:vAlign w:val="center"/>
            <w:shd w:fill="FFFFFF"/>
          </w:tcPr>
          <w:p>
            <w:pPr>
              <w:spacing w:before="0" w:after="0" w:line="252" w:lineRule="auto"/>
            </w:pPr>
            <w:r>
              <w:rPr>
                <w:rFonts w:ascii="Aptos" w:hAnsi="Aptos"/>
                <w:sz w:val="17"/>
              </w:rPr>
              <w:t>Dataset to DatasetVersion</w:t>
            </w:r>
          </w:p>
        </w:tc>
        <w:tc>
          <w:tcPr>
            <w:tcW w:type="dxa" w:w="2088"/>
            <w:tcMar>
              <w:top w:w="80" w:type="dxa"/>
              <w:start w:w="120" w:type="dxa"/>
              <w:bottom w:w="80" w:type="dxa"/>
              <w:end w:w="120" w:type="dxa"/>
            </w:tcMar>
            <w:vAlign w:val="center"/>
            <w:shd w:fill="FFFFFF"/>
          </w:tcPr>
          <w:p>
            <w:pPr>
              <w:spacing w:before="0" w:after="0" w:line="252" w:lineRule="auto"/>
            </w:pPr>
            <w:r>
              <w:rPr>
                <w:rFonts w:ascii="Aptos" w:hAnsi="Aptos"/>
                <w:sz w:val="17"/>
              </w:rPr>
              <w:t>Automatic</w:t>
            </w:r>
          </w:p>
        </w:tc>
      </w:tr>
      <w:tr>
        <w:trPr>
          <w:cantSplit/>
        </w:trPr>
        <w:tc>
          <w:tcPr>
            <w:tcW w:type="dxa" w:w="2232"/>
            <w:tcMar>
              <w:top w:w="80" w:type="dxa"/>
              <w:start w:w="120" w:type="dxa"/>
              <w:bottom w:w="80" w:type="dxa"/>
              <w:end w:w="120" w:type="dxa"/>
            </w:tcMar>
            <w:vAlign w:val="center"/>
            <w:shd w:fill="F2F6FA"/>
          </w:tcPr>
          <w:p>
            <w:pPr>
              <w:spacing w:before="0" w:after="0" w:line="252" w:lineRule="auto"/>
            </w:pPr>
            <w:r>
              <w:rPr>
                <w:rFonts w:ascii="Aptos" w:hAnsi="Aptos"/>
                <w:sz w:val="17"/>
              </w:rPr>
              <w:t>SourcedFrom</w:t>
            </w:r>
          </w:p>
        </w:tc>
        <w:tc>
          <w:tcPr>
            <w:tcW w:type="dxa" w:w="4680"/>
            <w:tcMar>
              <w:top w:w="80" w:type="dxa"/>
              <w:start w:w="120" w:type="dxa"/>
              <w:bottom w:w="80" w:type="dxa"/>
              <w:end w:w="120" w:type="dxa"/>
            </w:tcMar>
            <w:vAlign w:val="center"/>
            <w:shd w:fill="F2F6FA"/>
          </w:tcPr>
          <w:p>
            <w:pPr>
              <w:spacing w:before="0" w:after="0" w:line="252" w:lineRule="auto"/>
            </w:pPr>
            <w:r>
              <w:rPr>
                <w:rFonts w:ascii="Aptos" w:hAnsi="Aptos"/>
                <w:sz w:val="17"/>
              </w:rPr>
              <w:t>DataSource to DatasetVersion</w:t>
            </w:r>
          </w:p>
        </w:tc>
        <w:tc>
          <w:tcPr>
            <w:tcW w:type="dxa" w:w="2088"/>
            <w:tcMar>
              <w:top w:w="80" w:type="dxa"/>
              <w:start w:w="120" w:type="dxa"/>
              <w:bottom w:w="80" w:type="dxa"/>
              <w:end w:w="120" w:type="dxa"/>
            </w:tcMar>
            <w:vAlign w:val="center"/>
            <w:shd w:fill="F2F6FA"/>
          </w:tcPr>
          <w:p>
            <w:pPr>
              <w:spacing w:before="0" w:after="0" w:line="252" w:lineRule="auto"/>
            </w:pPr>
            <w:r>
              <w:rPr>
                <w:rFonts w:ascii="Aptos" w:hAnsi="Aptos"/>
                <w:sz w:val="17"/>
              </w:rPr>
              <w:t>Automatic</w:t>
            </w:r>
          </w:p>
        </w:tc>
      </w:tr>
      <w:tr>
        <w:trPr>
          <w:cantSplit/>
        </w:trPr>
        <w:tc>
          <w:tcPr>
            <w:tcW w:type="dxa" w:w="2232"/>
            <w:tcMar>
              <w:top w:w="80" w:type="dxa"/>
              <w:start w:w="120" w:type="dxa"/>
              <w:bottom w:w="80" w:type="dxa"/>
              <w:end w:w="120" w:type="dxa"/>
            </w:tcMar>
            <w:vAlign w:val="center"/>
            <w:shd w:fill="FFFFFF"/>
          </w:tcPr>
          <w:p>
            <w:pPr>
              <w:spacing w:before="0" w:after="0" w:line="252" w:lineRule="auto"/>
            </w:pPr>
            <w:r>
              <w:rPr>
                <w:rFonts w:ascii="Aptos" w:hAnsi="Aptos"/>
                <w:sz w:val="17"/>
              </w:rPr>
              <w:t>ProvidesData</w:t>
            </w:r>
          </w:p>
        </w:tc>
        <w:tc>
          <w:tcPr>
            <w:tcW w:type="dxa" w:w="4680"/>
            <w:tcMar>
              <w:top w:w="80" w:type="dxa"/>
              <w:start w:w="120" w:type="dxa"/>
              <w:bottom w:w="80" w:type="dxa"/>
              <w:end w:w="120" w:type="dxa"/>
            </w:tcMar>
            <w:vAlign w:val="center"/>
            <w:shd w:fill="FFFFFF"/>
          </w:tcPr>
          <w:p>
            <w:pPr>
              <w:spacing w:before="0" w:after="0" w:line="252" w:lineRule="auto"/>
            </w:pPr>
            <w:r>
              <w:rPr>
                <w:rFonts w:ascii="Aptos" w:hAnsi="Aptos"/>
                <w:sz w:val="17"/>
              </w:rPr>
              <w:t>SourceFile to Import</w:t>
            </w:r>
          </w:p>
        </w:tc>
        <w:tc>
          <w:tcPr>
            <w:tcW w:type="dxa" w:w="2088"/>
            <w:tcMar>
              <w:top w:w="80" w:type="dxa"/>
              <w:start w:w="120" w:type="dxa"/>
              <w:bottom w:w="80" w:type="dxa"/>
              <w:end w:w="120" w:type="dxa"/>
            </w:tcMar>
            <w:vAlign w:val="center"/>
            <w:shd w:fill="FFFFFF"/>
          </w:tcPr>
          <w:p>
            <w:pPr>
              <w:spacing w:before="0" w:after="0" w:line="252" w:lineRule="auto"/>
            </w:pPr>
            <w:r>
              <w:rPr>
                <w:rFonts w:ascii="Aptos" w:hAnsi="Aptos"/>
                <w:sz w:val="17"/>
              </w:rPr>
              <w:t>Automatic</w:t>
            </w:r>
          </w:p>
        </w:tc>
      </w:tr>
      <w:tr>
        <w:trPr>
          <w:cantSplit/>
        </w:trPr>
        <w:tc>
          <w:tcPr>
            <w:tcW w:type="dxa" w:w="2232"/>
            <w:tcMar>
              <w:top w:w="80" w:type="dxa"/>
              <w:start w:w="120" w:type="dxa"/>
              <w:bottom w:w="80" w:type="dxa"/>
              <w:end w:w="120" w:type="dxa"/>
            </w:tcMar>
            <w:vAlign w:val="center"/>
            <w:shd w:fill="F2F6FA"/>
          </w:tcPr>
          <w:p>
            <w:pPr>
              <w:spacing w:before="0" w:after="0" w:line="252" w:lineRule="auto"/>
            </w:pPr>
            <w:r>
              <w:rPr>
                <w:rFonts w:ascii="Aptos" w:hAnsi="Aptos"/>
                <w:sz w:val="17"/>
              </w:rPr>
              <w:t>Loads</w:t>
            </w:r>
          </w:p>
        </w:tc>
        <w:tc>
          <w:tcPr>
            <w:tcW w:type="dxa" w:w="4680"/>
            <w:tcMar>
              <w:top w:w="80" w:type="dxa"/>
              <w:start w:w="120" w:type="dxa"/>
              <w:bottom w:w="80" w:type="dxa"/>
              <w:end w:w="120" w:type="dxa"/>
            </w:tcMar>
            <w:vAlign w:val="center"/>
            <w:shd w:fill="F2F6FA"/>
          </w:tcPr>
          <w:p>
            <w:pPr>
              <w:spacing w:before="0" w:after="0" w:line="252" w:lineRule="auto"/>
            </w:pPr>
            <w:r>
              <w:rPr>
                <w:rFonts w:ascii="Aptos" w:hAnsi="Aptos"/>
                <w:sz w:val="17"/>
              </w:rPr>
              <w:t>Import to DatasetVersion</w:t>
            </w:r>
          </w:p>
        </w:tc>
        <w:tc>
          <w:tcPr>
            <w:tcW w:type="dxa" w:w="2088"/>
            <w:tcMar>
              <w:top w:w="80" w:type="dxa"/>
              <w:start w:w="120" w:type="dxa"/>
              <w:bottom w:w="80" w:type="dxa"/>
              <w:end w:w="120" w:type="dxa"/>
            </w:tcMar>
            <w:vAlign w:val="center"/>
            <w:shd w:fill="F2F6FA"/>
          </w:tcPr>
          <w:p>
            <w:pPr>
              <w:spacing w:before="0" w:after="0" w:line="252" w:lineRule="auto"/>
            </w:pPr>
            <w:r>
              <w:rPr>
                <w:rFonts w:ascii="Aptos" w:hAnsi="Aptos"/>
                <w:sz w:val="17"/>
              </w:rPr>
              <w:t>Automatic</w:t>
            </w:r>
          </w:p>
        </w:tc>
      </w:tr>
      <w:tr>
        <w:trPr>
          <w:cantSplit/>
        </w:trPr>
        <w:tc>
          <w:tcPr>
            <w:tcW w:type="dxa" w:w="2232"/>
            <w:tcMar>
              <w:top w:w="80" w:type="dxa"/>
              <w:start w:w="120" w:type="dxa"/>
              <w:bottom w:w="80" w:type="dxa"/>
              <w:end w:w="120" w:type="dxa"/>
            </w:tcMar>
            <w:vAlign w:val="center"/>
            <w:shd w:fill="FFFFFF"/>
          </w:tcPr>
          <w:p>
            <w:pPr>
              <w:spacing w:before="0" w:after="0" w:line="252" w:lineRule="auto"/>
            </w:pPr>
            <w:r>
              <w:rPr>
                <w:rFonts w:ascii="Aptos" w:hAnsi="Aptos"/>
                <w:sz w:val="17"/>
              </w:rPr>
              <w:t>Configures</w:t>
            </w:r>
          </w:p>
        </w:tc>
        <w:tc>
          <w:tcPr>
            <w:tcW w:type="dxa" w:w="4680"/>
            <w:tcMar>
              <w:top w:w="80" w:type="dxa"/>
              <w:start w:w="120" w:type="dxa"/>
              <w:bottom w:w="80" w:type="dxa"/>
              <w:end w:w="120" w:type="dxa"/>
            </w:tcMar>
            <w:vAlign w:val="center"/>
            <w:shd w:fill="FFFFFF"/>
          </w:tcPr>
          <w:p>
            <w:pPr>
              <w:spacing w:before="0" w:after="0" w:line="252" w:lineRule="auto"/>
            </w:pPr>
            <w:r>
              <w:rPr>
                <w:rFonts w:ascii="Aptos" w:hAnsi="Aptos"/>
                <w:sz w:val="17"/>
              </w:rPr>
              <w:t>DatasetVersion to Transformation</w:t>
            </w:r>
          </w:p>
        </w:tc>
        <w:tc>
          <w:tcPr>
            <w:tcW w:type="dxa" w:w="2088"/>
            <w:tcMar>
              <w:top w:w="80" w:type="dxa"/>
              <w:start w:w="120" w:type="dxa"/>
              <w:bottom w:w="80" w:type="dxa"/>
              <w:end w:w="120" w:type="dxa"/>
            </w:tcMar>
            <w:vAlign w:val="center"/>
            <w:shd w:fill="FFFFFF"/>
          </w:tcPr>
          <w:p>
            <w:pPr>
              <w:spacing w:before="0" w:after="0" w:line="252" w:lineRule="auto"/>
            </w:pPr>
            <w:r>
              <w:rPr>
                <w:rFonts w:ascii="Aptos" w:hAnsi="Aptos"/>
                <w:sz w:val="17"/>
              </w:rPr>
              <w:t>Automatic</w:t>
            </w:r>
          </w:p>
        </w:tc>
      </w:tr>
      <w:tr>
        <w:trPr>
          <w:cantSplit/>
        </w:trPr>
        <w:tc>
          <w:tcPr>
            <w:tcW w:type="dxa" w:w="2232"/>
            <w:tcMar>
              <w:top w:w="80" w:type="dxa"/>
              <w:start w:w="120" w:type="dxa"/>
              <w:bottom w:w="80" w:type="dxa"/>
              <w:end w:w="120" w:type="dxa"/>
            </w:tcMar>
            <w:vAlign w:val="center"/>
            <w:shd w:fill="F2F6FA"/>
          </w:tcPr>
          <w:p>
            <w:pPr>
              <w:spacing w:before="0" w:after="0" w:line="252" w:lineRule="auto"/>
            </w:pPr>
            <w:r>
              <w:rPr>
                <w:rFonts w:ascii="Aptos" w:hAnsi="Aptos"/>
                <w:sz w:val="17"/>
              </w:rPr>
              <w:t>AppliesTransformation</w:t>
            </w:r>
          </w:p>
        </w:tc>
        <w:tc>
          <w:tcPr>
            <w:tcW w:type="dxa" w:w="4680"/>
            <w:tcMar>
              <w:top w:w="80" w:type="dxa"/>
              <w:start w:w="120" w:type="dxa"/>
              <w:bottom w:w="80" w:type="dxa"/>
              <w:end w:w="120" w:type="dxa"/>
            </w:tcMar>
            <w:vAlign w:val="center"/>
            <w:shd w:fill="F2F6FA"/>
          </w:tcPr>
          <w:p>
            <w:pPr>
              <w:spacing w:before="0" w:after="0" w:line="252" w:lineRule="auto"/>
            </w:pPr>
            <w:r>
              <w:rPr>
                <w:rFonts w:ascii="Aptos" w:hAnsi="Aptos"/>
                <w:sz w:val="17"/>
              </w:rPr>
              <w:t>Transformation to Import</w:t>
            </w:r>
          </w:p>
        </w:tc>
        <w:tc>
          <w:tcPr>
            <w:tcW w:type="dxa" w:w="2088"/>
            <w:tcMar>
              <w:top w:w="80" w:type="dxa"/>
              <w:start w:w="120" w:type="dxa"/>
              <w:bottom w:w="80" w:type="dxa"/>
              <w:end w:w="120" w:type="dxa"/>
            </w:tcMar>
            <w:vAlign w:val="center"/>
            <w:shd w:fill="F2F6FA"/>
          </w:tcPr>
          <w:p>
            <w:pPr>
              <w:spacing w:before="0" w:after="0" w:line="252" w:lineRule="auto"/>
            </w:pPr>
            <w:r>
              <w:rPr>
                <w:rFonts w:ascii="Aptos" w:hAnsi="Aptos"/>
                <w:sz w:val="17"/>
              </w:rPr>
              <w:t>Automatic when selected</w:t>
            </w:r>
          </w:p>
        </w:tc>
      </w:tr>
      <w:tr>
        <w:trPr>
          <w:cantSplit/>
        </w:trPr>
        <w:tc>
          <w:tcPr>
            <w:tcW w:type="dxa" w:w="2232"/>
            <w:tcMar>
              <w:top w:w="80" w:type="dxa"/>
              <w:start w:w="120" w:type="dxa"/>
              <w:bottom w:w="80" w:type="dxa"/>
              <w:end w:w="120" w:type="dxa"/>
            </w:tcMar>
            <w:vAlign w:val="center"/>
            <w:shd w:fill="FFFFFF"/>
          </w:tcPr>
          <w:p>
            <w:pPr>
              <w:spacing w:before="0" w:after="0" w:line="252" w:lineRule="auto"/>
            </w:pPr>
            <w:r>
              <w:rPr>
                <w:rFonts w:ascii="Aptos" w:hAnsi="Aptos"/>
                <w:sz w:val="17"/>
              </w:rPr>
              <w:t>Profiles</w:t>
            </w:r>
          </w:p>
        </w:tc>
        <w:tc>
          <w:tcPr>
            <w:tcW w:type="dxa" w:w="4680"/>
            <w:tcMar>
              <w:top w:w="80" w:type="dxa"/>
              <w:start w:w="120" w:type="dxa"/>
              <w:bottom w:w="80" w:type="dxa"/>
              <w:end w:w="120" w:type="dxa"/>
            </w:tcMar>
            <w:vAlign w:val="center"/>
            <w:shd w:fill="FFFFFF"/>
          </w:tcPr>
          <w:p>
            <w:pPr>
              <w:spacing w:before="0" w:after="0" w:line="252" w:lineRule="auto"/>
            </w:pPr>
            <w:r>
              <w:rPr>
                <w:rFonts w:ascii="Aptos" w:hAnsi="Aptos"/>
                <w:sz w:val="17"/>
              </w:rPr>
              <w:t>DatasetVersion to QualityProfile</w:t>
            </w:r>
          </w:p>
        </w:tc>
        <w:tc>
          <w:tcPr>
            <w:tcW w:type="dxa" w:w="2088"/>
            <w:tcMar>
              <w:top w:w="80" w:type="dxa"/>
              <w:start w:w="120" w:type="dxa"/>
              <w:bottom w:w="80" w:type="dxa"/>
              <w:end w:w="120" w:type="dxa"/>
            </w:tcMar>
            <w:vAlign w:val="center"/>
            <w:shd w:fill="FFFFFF"/>
          </w:tcPr>
          <w:p>
            <w:pPr>
              <w:spacing w:before="0" w:after="0" w:line="252" w:lineRule="auto"/>
            </w:pPr>
            <w:r>
              <w:rPr>
                <w:rFonts w:ascii="Aptos" w:hAnsi="Aptos"/>
                <w:sz w:val="17"/>
              </w:rPr>
              <w:t>Automatic</w:t>
            </w:r>
          </w:p>
        </w:tc>
      </w:tr>
      <w:tr>
        <w:trPr>
          <w:cantSplit/>
        </w:trPr>
        <w:tc>
          <w:tcPr>
            <w:tcW w:type="dxa" w:w="2232"/>
            <w:tcMar>
              <w:top w:w="80" w:type="dxa"/>
              <w:start w:w="120" w:type="dxa"/>
              <w:bottom w:w="80" w:type="dxa"/>
              <w:end w:w="120" w:type="dxa"/>
            </w:tcMar>
            <w:vAlign w:val="center"/>
            <w:shd w:fill="F2F6FA"/>
          </w:tcPr>
          <w:p>
            <w:pPr>
              <w:spacing w:before="0" w:after="0" w:line="252" w:lineRule="auto"/>
            </w:pPr>
            <w:r>
              <w:rPr>
                <w:rFonts w:ascii="Aptos" w:hAnsi="Aptos"/>
                <w:sz w:val="17"/>
              </w:rPr>
              <w:t>Feeds</w:t>
            </w:r>
          </w:p>
        </w:tc>
        <w:tc>
          <w:tcPr>
            <w:tcW w:type="dxa" w:w="4680"/>
            <w:tcMar>
              <w:top w:w="80" w:type="dxa"/>
              <w:start w:w="120" w:type="dxa"/>
              <w:bottom w:w="80" w:type="dxa"/>
              <w:end w:w="120" w:type="dxa"/>
            </w:tcMar>
            <w:vAlign w:val="center"/>
            <w:shd w:fill="F2F6FA"/>
          </w:tcPr>
          <w:p>
            <w:pPr>
              <w:spacing w:before="0" w:after="0" w:line="252" w:lineRule="auto"/>
            </w:pPr>
            <w:r>
              <w:rPr>
                <w:rFonts w:ascii="Aptos" w:hAnsi="Aptos"/>
                <w:sz w:val="17"/>
              </w:rPr>
              <w:t>Dataset or version to dataset or version</w:t>
            </w:r>
          </w:p>
        </w:tc>
        <w:tc>
          <w:tcPr>
            <w:tcW w:type="dxa" w:w="2088"/>
            <w:tcMar>
              <w:top w:w="80" w:type="dxa"/>
              <w:start w:w="120" w:type="dxa"/>
              <w:bottom w:w="80" w:type="dxa"/>
              <w:end w:w="120" w:type="dxa"/>
            </w:tcMar>
            <w:vAlign w:val="center"/>
            <w:shd w:fill="F2F6FA"/>
          </w:tcPr>
          <w:p>
            <w:pPr>
              <w:spacing w:before="0" w:after="0" w:line="252" w:lineRule="auto"/>
            </w:pPr>
            <w:r>
              <w:rPr>
                <w:rFonts w:ascii="Aptos" w:hAnsi="Aptos"/>
                <w:sz w:val="17"/>
              </w:rPr>
              <w:t>Manual</w:t>
            </w:r>
          </w:p>
        </w:tc>
      </w:tr>
    </w:tbl>
    <w:p>
      <w:pPr>
        <w:spacing w:after="60"/>
      </w:pPr>
    </w:p>
    <w:p>
      <w:pPr>
        <w:pStyle w:val="Heading2"/>
        <w:keepNext/>
      </w:pPr>
      <w:r>
        <w:t>Automatic capture and version handling</w:t>
      </w:r>
    </w:p>
    <w:p>
      <w:pPr>
        <w:pStyle w:val="ListBullet"/>
      </w:pPr>
      <w:r>
        <w:t>Dataset metadata or schema version creation records Dataset to DatasetVersion and DataSource to DatasetVersion edges.</w:t>
      </w:r>
    </w:p>
    <w:p>
      <w:pPr>
        <w:pStyle w:val="ListBullet"/>
      </w:pPr>
      <w:r>
        <w:t>Transformation configuration creation records DatasetVersion to Transformation.</w:t>
      </w:r>
    </w:p>
    <w:p>
      <w:pPr>
        <w:pStyle w:val="ListBullet"/>
      </w:pPr>
      <w:r>
        <w:t>Import creation records SourceFile to Import, Import to DatasetVersion and, when selected, Transformation to Import.</w:t>
      </w:r>
    </w:p>
    <w:p>
      <w:pPr>
        <w:pStyle w:val="ListBullet"/>
      </w:pPr>
      <w:r>
        <w:t>Quality-profile creation records DatasetVersion to QualityProfile.</w:t>
      </w:r>
    </w:p>
    <w:p>
      <w:r>
        <w:t>Capture is idempotent. It selects the newest dataset version whose CreatedAtUtc is at or before the activity time, so retrying capture cannot attach an older activity to a later version. Imports, transformations and profiles do not create dataset versions. Automatically captured edges cannot be edited through the update API. Automatic and manual edges may be soft-deactivated with a reason, retaining inactive history; normal traversal excludes inactive edges.</w:t>
      </w:r>
    </w:p>
    <w:p>
      <w:pPr>
        <w:pStyle w:val="Heading2"/>
        <w:keepNext/>
      </w:pPr>
      <w:r>
        <w:t>API reference</w:t>
      </w:r>
    </w:p>
    <w:p>
      <w:r>
        <w:t>All routes use /api/lineage, JWT authentication, UTC timestamps and the standard response envelope. Existing workspace and dataset authorization remains in force.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cantSplit/>
        </w:trPr>
        <w:tc>
          <w:tcPr>
            <w:tcW w:type="dxa" w:w="864"/>
            <w:tcMar>
              <w:top w:w="80" w:type="dxa"/>
              <w:start w:w="120" w:type="dxa"/>
              <w:bottom w:w="80" w:type="dxa"/>
              <w:end w:w="120" w:type="dxa"/>
            </w:tcMar>
            <w:vAlign w:val="center"/>
            <w:shd w:fill="17365D"/>
          </w:tcPr>
          <w:p>
            <w:pPr>
              <w:spacing w:before="0" w:after="0" w:line="252" w:lineRule="auto"/>
            </w:pPr>
            <w:r>
              <w:rPr>
                <w:rFonts w:ascii="Aptos" w:hAnsi="Aptos"/>
                <w:b/>
                <w:color w:val="FFFFFF"/>
                <w:sz w:val="17"/>
              </w:rPr>
              <w:t>Method</w:t>
            </w:r>
          </w:p>
        </w:tc>
        <w:tc>
          <w:tcPr>
            <w:tcW w:type="dxa" w:w="4824"/>
            <w:tcMar>
              <w:top w:w="80" w:type="dxa"/>
              <w:start w:w="120" w:type="dxa"/>
              <w:bottom w:w="80" w:type="dxa"/>
              <w:end w:w="120" w:type="dxa"/>
            </w:tcMar>
            <w:vAlign w:val="center"/>
            <w:shd w:fill="17365D"/>
          </w:tcPr>
          <w:p>
            <w:pPr>
              <w:spacing w:before="0" w:after="0" w:line="252" w:lineRule="auto"/>
            </w:pPr>
            <w:r>
              <w:rPr>
                <w:rFonts w:ascii="Aptos" w:hAnsi="Aptos"/>
                <w:b/>
                <w:color w:val="FFFFFF"/>
                <w:sz w:val="17"/>
              </w:rPr>
              <w:t>Route after /api/lineage</w:t>
            </w:r>
          </w:p>
        </w:tc>
        <w:tc>
          <w:tcPr>
            <w:tcW w:type="dxa" w:w="3311"/>
            <w:tcMar>
              <w:top w:w="80" w:type="dxa"/>
              <w:start w:w="120" w:type="dxa"/>
              <w:bottom w:w="80" w:type="dxa"/>
              <w:end w:w="120" w:type="dxa"/>
            </w:tcMar>
            <w:vAlign w:val="center"/>
            <w:shd w:fill="17365D"/>
          </w:tcPr>
          <w:p>
            <w:pPr>
              <w:spacing w:before="0" w:after="0" w:line="252" w:lineRule="auto"/>
            </w:pPr>
            <w:r>
              <w:rPr>
                <w:rFonts w:ascii="Aptos" w:hAnsi="Aptos"/>
                <w:b/>
                <w:color w:val="FFFFFF"/>
                <w:sz w:val="17"/>
              </w:rPr>
              <w:t>Purpose</w:t>
            </w:r>
          </w:p>
        </w:tc>
      </w:tr>
      <w:tr>
        <w:trPr>
          <w:cantSplit/>
        </w:trPr>
        <w:tc>
          <w:tcPr>
            <w:tcW w:type="dxa" w:w="864"/>
            <w:tcMar>
              <w:top w:w="80" w:type="dxa"/>
              <w:start w:w="120" w:type="dxa"/>
              <w:bottom w:w="80" w:type="dxa"/>
              <w:end w:w="120" w:type="dxa"/>
            </w:tcMar>
            <w:vAlign w:val="center"/>
            <w:shd w:fill="FFFFFF"/>
          </w:tcPr>
          <w:p>
            <w:pPr>
              <w:spacing w:before="0" w:after="0" w:line="252" w:lineRule="auto"/>
            </w:pPr>
            <w:r>
              <w:rPr>
                <w:rFonts w:ascii="Aptos" w:hAnsi="Aptos"/>
                <w:sz w:val="17"/>
              </w:rPr>
              <w:t>GET</w:t>
            </w:r>
          </w:p>
        </w:tc>
        <w:tc>
          <w:tcPr>
            <w:tcW w:type="dxa" w:w="4824"/>
            <w:tcMar>
              <w:top w:w="80" w:type="dxa"/>
              <w:start w:w="120" w:type="dxa"/>
              <w:bottom w:w="80" w:type="dxa"/>
              <w:end w:w="120" w:type="dxa"/>
            </w:tcMar>
            <w:vAlign w:val="center"/>
            <w:shd w:fill="FFFFFF"/>
          </w:tcPr>
          <w:p>
            <w:pPr>
              <w:spacing w:before="0" w:after="0" w:line="252" w:lineRule="auto"/>
            </w:pPr>
            <w:r>
              <w:rPr>
                <w:rFonts w:ascii="Aptos" w:hAnsi="Aptos"/>
                <w:sz w:val="17"/>
              </w:rPr>
              <w:t>/relationships</w:t>
            </w:r>
          </w:p>
        </w:tc>
        <w:tc>
          <w:tcPr>
            <w:tcW w:type="dxa" w:w="3311"/>
            <w:tcMar>
              <w:top w:w="80" w:type="dxa"/>
              <w:start w:w="120" w:type="dxa"/>
              <w:bottom w:w="80" w:type="dxa"/>
              <w:end w:w="120" w:type="dxa"/>
            </w:tcMar>
            <w:vAlign w:val="center"/>
            <w:shd w:fill="FFFFFF"/>
          </w:tcPr>
          <w:p>
            <w:pPr>
              <w:spacing w:before="0" w:after="0" w:line="252" w:lineRule="auto"/>
            </w:pPr>
            <w:r>
              <w:rPr>
                <w:rFonts w:ascii="Aptos" w:hAnsi="Aptos"/>
                <w:sz w:val="17"/>
              </w:rPr>
              <w:t>Search, filter, sort and page relationships</w:t>
            </w:r>
          </w:p>
        </w:tc>
      </w:tr>
      <w:tr>
        <w:trPr>
          <w:cantSplit/>
        </w:trPr>
        <w:tc>
          <w:tcPr>
            <w:tcW w:type="dxa" w:w="864"/>
            <w:tcMar>
              <w:top w:w="80" w:type="dxa"/>
              <w:start w:w="120" w:type="dxa"/>
              <w:bottom w:w="80" w:type="dxa"/>
              <w:end w:w="120" w:type="dxa"/>
            </w:tcMar>
            <w:vAlign w:val="center"/>
            <w:shd w:fill="F2F6FA"/>
          </w:tcPr>
          <w:p>
            <w:pPr>
              <w:spacing w:before="0" w:after="0" w:line="252" w:lineRule="auto"/>
            </w:pPr>
            <w:r>
              <w:rPr>
                <w:rFonts w:ascii="Aptos" w:hAnsi="Aptos"/>
                <w:sz w:val="17"/>
              </w:rPr>
              <w:t>GET</w:t>
            </w:r>
          </w:p>
        </w:tc>
        <w:tc>
          <w:tcPr>
            <w:tcW w:type="dxa" w:w="4824"/>
            <w:tcMar>
              <w:top w:w="80" w:type="dxa"/>
              <w:start w:w="120" w:type="dxa"/>
              <w:bottom w:w="80" w:type="dxa"/>
              <w:end w:w="120" w:type="dxa"/>
            </w:tcMar>
            <w:vAlign w:val="center"/>
            <w:shd w:fill="F2F6FA"/>
          </w:tcPr>
          <w:p>
            <w:pPr>
              <w:spacing w:before="0" w:after="0" w:line="252" w:lineRule="auto"/>
            </w:pPr>
            <w:r>
              <w:rPr>
                <w:rFonts w:ascii="Aptos" w:hAnsi="Aptos"/>
                <w:sz w:val="17"/>
              </w:rPr>
              <w:t>/relationships/{relationshipId}</w:t>
            </w:r>
          </w:p>
        </w:tc>
        <w:tc>
          <w:tcPr>
            <w:tcW w:type="dxa" w:w="3311"/>
            <w:tcMar>
              <w:top w:w="80" w:type="dxa"/>
              <w:start w:w="120" w:type="dxa"/>
              <w:bottom w:w="80" w:type="dxa"/>
              <w:end w:w="120" w:type="dxa"/>
            </w:tcMar>
            <w:vAlign w:val="center"/>
            <w:shd w:fill="F2F6FA"/>
          </w:tcPr>
          <w:p>
            <w:pPr>
              <w:spacing w:before="0" w:after="0" w:line="252" w:lineRule="auto"/>
            </w:pPr>
            <w:r>
              <w:rPr>
                <w:rFonts w:ascii="Aptos" w:hAnsi="Aptos"/>
                <w:sz w:val="17"/>
              </w:rPr>
              <w:t>Get active or inactive relationship details</w:t>
            </w:r>
          </w:p>
        </w:tc>
      </w:tr>
      <w:tr>
        <w:trPr>
          <w:cantSplit/>
        </w:trPr>
        <w:tc>
          <w:tcPr>
            <w:tcW w:type="dxa" w:w="864"/>
            <w:tcMar>
              <w:top w:w="80" w:type="dxa"/>
              <w:start w:w="120" w:type="dxa"/>
              <w:bottom w:w="80" w:type="dxa"/>
              <w:end w:w="120" w:type="dxa"/>
            </w:tcMar>
            <w:vAlign w:val="center"/>
            <w:shd w:fill="FFFFFF"/>
          </w:tcPr>
          <w:p>
            <w:pPr>
              <w:spacing w:before="0" w:after="0" w:line="252" w:lineRule="auto"/>
            </w:pPr>
            <w:r>
              <w:rPr>
                <w:rFonts w:ascii="Aptos" w:hAnsi="Aptos"/>
                <w:sz w:val="17"/>
              </w:rPr>
              <w:t>POST</w:t>
            </w:r>
          </w:p>
        </w:tc>
        <w:tc>
          <w:tcPr>
            <w:tcW w:type="dxa" w:w="4824"/>
            <w:tcMar>
              <w:top w:w="80" w:type="dxa"/>
              <w:start w:w="120" w:type="dxa"/>
              <w:bottom w:w="80" w:type="dxa"/>
              <w:end w:w="120" w:type="dxa"/>
            </w:tcMar>
            <w:vAlign w:val="center"/>
            <w:shd w:fill="FFFFFF"/>
          </w:tcPr>
          <w:p>
            <w:pPr>
              <w:spacing w:before="0" w:after="0" w:line="252" w:lineRule="auto"/>
            </w:pPr>
            <w:r>
              <w:rPr>
                <w:rFonts w:ascii="Aptos" w:hAnsi="Aptos"/>
                <w:sz w:val="17"/>
              </w:rPr>
              <w:t>/relationships</w:t>
            </w:r>
          </w:p>
        </w:tc>
        <w:tc>
          <w:tcPr>
            <w:tcW w:type="dxa" w:w="3311"/>
            <w:tcMar>
              <w:top w:w="80" w:type="dxa"/>
              <w:start w:w="120" w:type="dxa"/>
              <w:bottom w:w="80" w:type="dxa"/>
              <w:end w:w="120" w:type="dxa"/>
            </w:tcMar>
            <w:vAlign w:val="center"/>
            <w:shd w:fill="FFFFFF"/>
          </w:tcPr>
          <w:p>
            <w:pPr>
              <w:spacing w:before="0" w:after="0" w:line="252" w:lineRule="auto"/>
            </w:pPr>
            <w:r>
              <w:rPr>
                <w:rFonts w:ascii="Aptos" w:hAnsi="Aptos"/>
                <w:sz w:val="17"/>
              </w:rPr>
              <w:t>Create a manual Feeds relationship</w:t>
            </w:r>
          </w:p>
        </w:tc>
      </w:tr>
      <w:tr>
        <w:trPr>
          <w:cantSplit/>
        </w:trPr>
        <w:tc>
          <w:tcPr>
            <w:tcW w:type="dxa" w:w="864"/>
            <w:tcMar>
              <w:top w:w="80" w:type="dxa"/>
              <w:start w:w="120" w:type="dxa"/>
              <w:bottom w:w="80" w:type="dxa"/>
              <w:end w:w="120" w:type="dxa"/>
            </w:tcMar>
            <w:vAlign w:val="center"/>
            <w:shd w:fill="F2F6FA"/>
          </w:tcPr>
          <w:p>
            <w:pPr>
              <w:spacing w:before="0" w:after="0" w:line="252" w:lineRule="auto"/>
            </w:pPr>
            <w:r>
              <w:rPr>
                <w:rFonts w:ascii="Aptos" w:hAnsi="Aptos"/>
                <w:sz w:val="17"/>
              </w:rPr>
              <w:t>PUT</w:t>
            </w:r>
          </w:p>
        </w:tc>
        <w:tc>
          <w:tcPr>
            <w:tcW w:type="dxa" w:w="4824"/>
            <w:tcMar>
              <w:top w:w="80" w:type="dxa"/>
              <w:start w:w="120" w:type="dxa"/>
              <w:bottom w:w="80" w:type="dxa"/>
              <w:end w:w="120" w:type="dxa"/>
            </w:tcMar>
            <w:vAlign w:val="center"/>
            <w:shd w:fill="F2F6FA"/>
          </w:tcPr>
          <w:p>
            <w:pPr>
              <w:spacing w:before="0" w:after="0" w:line="252" w:lineRule="auto"/>
            </w:pPr>
            <w:r>
              <w:rPr>
                <w:rFonts w:ascii="Aptos" w:hAnsi="Aptos"/>
                <w:sz w:val="17"/>
              </w:rPr>
              <w:t>/relationships/{relationshipId}</w:t>
            </w:r>
          </w:p>
        </w:tc>
        <w:tc>
          <w:tcPr>
            <w:tcW w:type="dxa" w:w="3311"/>
            <w:tcMar>
              <w:top w:w="80" w:type="dxa"/>
              <w:start w:w="120" w:type="dxa"/>
              <w:bottom w:w="80" w:type="dxa"/>
              <w:end w:w="120" w:type="dxa"/>
            </w:tcMar>
            <w:vAlign w:val="center"/>
            <w:shd w:fill="F2F6FA"/>
          </w:tcPr>
          <w:p>
            <w:pPr>
              <w:spacing w:before="0" w:after="0" w:line="252" w:lineRule="auto"/>
            </w:pPr>
            <w:r>
              <w:rPr>
                <w:rFonts w:ascii="Aptos" w:hAnsi="Aptos"/>
                <w:sz w:val="17"/>
              </w:rPr>
              <w:t>Update metadata on a manual relationship</w:t>
            </w:r>
          </w:p>
        </w:tc>
      </w:tr>
      <w:tr>
        <w:trPr>
          <w:cantSplit/>
        </w:trPr>
        <w:tc>
          <w:tcPr>
            <w:tcW w:type="dxa" w:w="864"/>
            <w:tcMar>
              <w:top w:w="80" w:type="dxa"/>
              <w:start w:w="120" w:type="dxa"/>
              <w:bottom w:w="80" w:type="dxa"/>
              <w:end w:w="120" w:type="dxa"/>
            </w:tcMar>
            <w:vAlign w:val="center"/>
            <w:shd w:fill="FFFFFF"/>
          </w:tcPr>
          <w:p>
            <w:pPr>
              <w:spacing w:before="0" w:after="0" w:line="252" w:lineRule="auto"/>
            </w:pPr>
            <w:r>
              <w:rPr>
                <w:rFonts w:ascii="Aptos" w:hAnsi="Aptos"/>
                <w:sz w:val="17"/>
              </w:rPr>
              <w:t>DELETE</w:t>
            </w:r>
          </w:p>
        </w:tc>
        <w:tc>
          <w:tcPr>
            <w:tcW w:type="dxa" w:w="4824"/>
            <w:tcMar>
              <w:top w:w="80" w:type="dxa"/>
              <w:start w:w="120" w:type="dxa"/>
              <w:bottom w:w="80" w:type="dxa"/>
              <w:end w:w="120" w:type="dxa"/>
            </w:tcMar>
            <w:vAlign w:val="center"/>
            <w:shd w:fill="FFFFFF"/>
          </w:tcPr>
          <w:p>
            <w:pPr>
              <w:spacing w:before="0" w:after="0" w:line="252" w:lineRule="auto"/>
            </w:pPr>
            <w:r>
              <w:rPr>
                <w:rFonts w:ascii="Aptos" w:hAnsi="Aptos"/>
                <w:sz w:val="17"/>
              </w:rPr>
              <w:t>/relationships/{relationshipId}</w:t>
            </w:r>
          </w:p>
        </w:tc>
        <w:tc>
          <w:tcPr>
            <w:tcW w:type="dxa" w:w="3311"/>
            <w:tcMar>
              <w:top w:w="80" w:type="dxa"/>
              <w:start w:w="120" w:type="dxa"/>
              <w:bottom w:w="80" w:type="dxa"/>
              <w:end w:w="120" w:type="dxa"/>
            </w:tcMar>
            <w:vAlign w:val="center"/>
            <w:shd w:fill="FFFFFF"/>
          </w:tcPr>
          <w:p>
            <w:pPr>
              <w:spacing w:before="0" w:after="0" w:line="252" w:lineRule="auto"/>
            </w:pPr>
            <w:r>
              <w:rPr>
                <w:rFonts w:ascii="Aptos" w:hAnsi="Aptos"/>
                <w:sz w:val="17"/>
              </w:rPr>
              <w:t>Soft-deactivate with a required reason</w:t>
            </w:r>
          </w:p>
        </w:tc>
      </w:tr>
      <w:tr>
        <w:trPr>
          <w:cantSplit/>
        </w:trPr>
        <w:tc>
          <w:tcPr>
            <w:tcW w:type="dxa" w:w="864"/>
            <w:tcMar>
              <w:top w:w="80" w:type="dxa"/>
              <w:start w:w="120" w:type="dxa"/>
              <w:bottom w:w="80" w:type="dxa"/>
              <w:end w:w="120" w:type="dxa"/>
            </w:tcMar>
            <w:vAlign w:val="center"/>
            <w:shd w:fill="F2F6FA"/>
          </w:tcPr>
          <w:p>
            <w:pPr>
              <w:spacing w:before="0" w:after="0" w:line="252" w:lineRule="auto"/>
            </w:pPr>
            <w:r>
              <w:rPr>
                <w:rFonts w:ascii="Aptos" w:hAnsi="Aptos"/>
                <w:sz w:val="17"/>
              </w:rPr>
              <w:t>GET</w:t>
            </w:r>
          </w:p>
        </w:tc>
        <w:tc>
          <w:tcPr>
            <w:tcW w:type="dxa" w:w="4824"/>
            <w:tcMar>
              <w:top w:w="80" w:type="dxa"/>
              <w:start w:w="120" w:type="dxa"/>
              <w:bottom w:w="80" w:type="dxa"/>
              <w:end w:w="120" w:type="dxa"/>
            </w:tcMar>
            <w:vAlign w:val="center"/>
            <w:shd w:fill="F2F6FA"/>
          </w:tcPr>
          <w:p>
            <w:pPr>
              <w:spacing w:before="0" w:after="0" w:line="252" w:lineRule="auto"/>
            </w:pPr>
            <w:r>
              <w:rPr>
                <w:rFonts w:ascii="Aptos" w:hAnsi="Aptos"/>
                <w:sz w:val="17"/>
              </w:rPr>
              <w:t>/datasets/{datasetId}</w:t>
            </w:r>
          </w:p>
        </w:tc>
        <w:tc>
          <w:tcPr>
            <w:tcW w:type="dxa" w:w="3311"/>
            <w:tcMar>
              <w:top w:w="80" w:type="dxa"/>
              <w:start w:w="120" w:type="dxa"/>
              <w:bottom w:w="80" w:type="dxa"/>
              <w:end w:w="120" w:type="dxa"/>
            </w:tcMar>
            <w:vAlign w:val="center"/>
            <w:shd w:fill="F2F6FA"/>
          </w:tcPr>
          <w:p>
            <w:pPr>
              <w:spacing w:before="0" w:after="0" w:line="252" w:lineRule="auto"/>
            </w:pPr>
            <w:r>
              <w:rPr>
                <w:rFonts w:ascii="Aptos" w:hAnsi="Aptos"/>
                <w:sz w:val="17"/>
              </w:rPr>
              <w:t>Get the complete dataset graph</w:t>
            </w:r>
          </w:p>
        </w:tc>
      </w:tr>
      <w:tr>
        <w:trPr>
          <w:cantSplit/>
        </w:trPr>
        <w:tc>
          <w:tcPr>
            <w:tcW w:type="dxa" w:w="864"/>
            <w:tcMar>
              <w:top w:w="80" w:type="dxa"/>
              <w:start w:w="120" w:type="dxa"/>
              <w:bottom w:w="80" w:type="dxa"/>
              <w:end w:w="120" w:type="dxa"/>
            </w:tcMar>
            <w:vAlign w:val="center"/>
            <w:shd w:fill="FFFFFF"/>
          </w:tcPr>
          <w:p>
            <w:pPr>
              <w:spacing w:before="0" w:after="0" w:line="252" w:lineRule="auto"/>
            </w:pPr>
            <w:r>
              <w:rPr>
                <w:rFonts w:ascii="Aptos" w:hAnsi="Aptos"/>
                <w:sz w:val="17"/>
              </w:rPr>
              <w:t>GET</w:t>
            </w:r>
          </w:p>
        </w:tc>
        <w:tc>
          <w:tcPr>
            <w:tcW w:type="dxa" w:w="4824"/>
            <w:tcMar>
              <w:top w:w="80" w:type="dxa"/>
              <w:start w:w="120" w:type="dxa"/>
              <w:bottom w:w="80" w:type="dxa"/>
              <w:end w:w="120" w:type="dxa"/>
            </w:tcMar>
            <w:vAlign w:val="center"/>
            <w:shd w:fill="FFFFFF"/>
          </w:tcPr>
          <w:p>
            <w:pPr>
              <w:spacing w:before="0" w:after="0" w:line="252" w:lineRule="auto"/>
            </w:pPr>
            <w:r>
              <w:rPr>
                <w:rFonts w:ascii="Aptos" w:hAnsi="Aptos"/>
                <w:sz w:val="17"/>
              </w:rPr>
              <w:t>/datasets/{datasetId}/upstream</w:t>
            </w:r>
          </w:p>
        </w:tc>
        <w:tc>
          <w:tcPr>
            <w:tcW w:type="dxa" w:w="3311"/>
            <w:tcMar>
              <w:top w:w="80" w:type="dxa"/>
              <w:start w:w="120" w:type="dxa"/>
              <w:bottom w:w="80" w:type="dxa"/>
              <w:end w:w="120" w:type="dxa"/>
            </w:tcMar>
            <w:vAlign w:val="center"/>
            <w:shd w:fill="FFFFFF"/>
          </w:tcPr>
          <w:p>
            <w:pPr>
              <w:spacing w:before="0" w:after="0" w:line="252" w:lineRule="auto"/>
            </w:pPr>
            <w:r>
              <w:rPr>
                <w:rFonts w:ascii="Aptos" w:hAnsi="Aptos"/>
                <w:sz w:val="17"/>
              </w:rPr>
              <w:t>Get upstream lineage</w:t>
            </w:r>
          </w:p>
        </w:tc>
      </w:tr>
      <w:tr>
        <w:trPr>
          <w:cantSplit/>
        </w:trPr>
        <w:tc>
          <w:tcPr>
            <w:tcW w:type="dxa" w:w="864"/>
            <w:tcMar>
              <w:top w:w="80" w:type="dxa"/>
              <w:start w:w="120" w:type="dxa"/>
              <w:bottom w:w="80" w:type="dxa"/>
              <w:end w:w="120" w:type="dxa"/>
            </w:tcMar>
            <w:vAlign w:val="center"/>
            <w:shd w:fill="F2F6FA"/>
          </w:tcPr>
          <w:p>
            <w:pPr>
              <w:spacing w:before="0" w:after="0" w:line="252" w:lineRule="auto"/>
            </w:pPr>
            <w:r>
              <w:rPr>
                <w:rFonts w:ascii="Aptos" w:hAnsi="Aptos"/>
                <w:sz w:val="17"/>
              </w:rPr>
              <w:t>GET</w:t>
            </w:r>
          </w:p>
        </w:tc>
        <w:tc>
          <w:tcPr>
            <w:tcW w:type="dxa" w:w="4824"/>
            <w:tcMar>
              <w:top w:w="80" w:type="dxa"/>
              <w:start w:w="120" w:type="dxa"/>
              <w:bottom w:w="80" w:type="dxa"/>
              <w:end w:w="120" w:type="dxa"/>
            </w:tcMar>
            <w:vAlign w:val="center"/>
            <w:shd w:fill="F2F6FA"/>
          </w:tcPr>
          <w:p>
            <w:pPr>
              <w:spacing w:before="0" w:after="0" w:line="252" w:lineRule="auto"/>
            </w:pPr>
            <w:r>
              <w:rPr>
                <w:rFonts w:ascii="Aptos" w:hAnsi="Aptos"/>
                <w:sz w:val="17"/>
              </w:rPr>
              <w:t>/datasets/{datasetId}/downstream</w:t>
            </w:r>
          </w:p>
        </w:tc>
        <w:tc>
          <w:tcPr>
            <w:tcW w:type="dxa" w:w="3311"/>
            <w:tcMar>
              <w:top w:w="80" w:type="dxa"/>
              <w:start w:w="120" w:type="dxa"/>
              <w:bottom w:w="80" w:type="dxa"/>
              <w:end w:w="120" w:type="dxa"/>
            </w:tcMar>
            <w:vAlign w:val="center"/>
            <w:shd w:fill="F2F6FA"/>
          </w:tcPr>
          <w:p>
            <w:pPr>
              <w:spacing w:before="0" w:after="0" w:line="252" w:lineRule="auto"/>
            </w:pPr>
            <w:r>
              <w:rPr>
                <w:rFonts w:ascii="Aptos" w:hAnsi="Aptos"/>
                <w:sz w:val="17"/>
              </w:rPr>
              <w:t>Get downstream lineage</w:t>
            </w:r>
          </w:p>
        </w:tc>
      </w:tr>
      <w:tr>
        <w:trPr>
          <w:cantSplit/>
        </w:trPr>
        <w:tc>
          <w:tcPr>
            <w:tcW w:type="dxa" w:w="864"/>
            <w:tcMar>
              <w:top w:w="80" w:type="dxa"/>
              <w:start w:w="120" w:type="dxa"/>
              <w:bottom w:w="80" w:type="dxa"/>
              <w:end w:w="120" w:type="dxa"/>
            </w:tcMar>
            <w:vAlign w:val="center"/>
            <w:shd w:fill="FFFFFF"/>
          </w:tcPr>
          <w:p>
            <w:pPr>
              <w:spacing w:before="0" w:after="0" w:line="252" w:lineRule="auto"/>
            </w:pPr>
            <w:r>
              <w:rPr>
                <w:rFonts w:ascii="Aptos" w:hAnsi="Aptos"/>
                <w:sz w:val="17"/>
              </w:rPr>
              <w:t>GET</w:t>
            </w:r>
          </w:p>
        </w:tc>
        <w:tc>
          <w:tcPr>
            <w:tcW w:type="dxa" w:w="4824"/>
            <w:tcMar>
              <w:top w:w="80" w:type="dxa"/>
              <w:start w:w="120" w:type="dxa"/>
              <w:bottom w:w="80" w:type="dxa"/>
              <w:end w:w="120" w:type="dxa"/>
            </w:tcMar>
            <w:vAlign w:val="center"/>
            <w:shd w:fill="FFFFFF"/>
          </w:tcPr>
          <w:p>
            <w:pPr>
              <w:spacing w:before="0" w:after="0" w:line="252" w:lineRule="auto"/>
            </w:pPr>
            <w:r>
              <w:rPr>
                <w:rFonts w:ascii="Aptos" w:hAnsi="Aptos"/>
                <w:sz w:val="17"/>
              </w:rPr>
              <w:t>/datasets/{datasetId}/versions/{versionNumber}</w:t>
            </w:r>
          </w:p>
        </w:tc>
        <w:tc>
          <w:tcPr>
            <w:tcW w:type="dxa" w:w="3311"/>
            <w:tcMar>
              <w:top w:w="80" w:type="dxa"/>
              <w:start w:w="120" w:type="dxa"/>
              <w:bottom w:w="80" w:type="dxa"/>
              <w:end w:w="120" w:type="dxa"/>
            </w:tcMar>
            <w:vAlign w:val="center"/>
            <w:shd w:fill="FFFFFF"/>
          </w:tcPr>
          <w:p>
            <w:pPr>
              <w:spacing w:before="0" w:after="0" w:line="252" w:lineRule="auto"/>
            </w:pPr>
            <w:r>
              <w:rPr>
                <w:rFonts w:ascii="Aptos" w:hAnsi="Aptos"/>
                <w:sz w:val="17"/>
              </w:rPr>
              <w:t>Get a version-aware graph</w:t>
            </w:r>
          </w:p>
        </w:tc>
      </w:tr>
      <w:tr>
        <w:trPr>
          <w:cantSplit/>
        </w:trPr>
        <w:tc>
          <w:tcPr>
            <w:tcW w:type="dxa" w:w="864"/>
            <w:tcMar>
              <w:top w:w="80" w:type="dxa"/>
              <w:start w:w="120" w:type="dxa"/>
              <w:bottom w:w="80" w:type="dxa"/>
              <w:end w:w="120" w:type="dxa"/>
            </w:tcMar>
            <w:vAlign w:val="center"/>
            <w:shd w:fill="F2F6FA"/>
          </w:tcPr>
          <w:p>
            <w:pPr>
              <w:spacing w:before="0" w:after="0" w:line="252" w:lineRule="auto"/>
            </w:pPr>
            <w:r>
              <w:rPr>
                <w:rFonts w:ascii="Aptos" w:hAnsi="Aptos"/>
                <w:sz w:val="17"/>
              </w:rPr>
              <w:t>GET</w:t>
            </w:r>
          </w:p>
        </w:tc>
        <w:tc>
          <w:tcPr>
            <w:tcW w:type="dxa" w:w="4824"/>
            <w:tcMar>
              <w:top w:w="80" w:type="dxa"/>
              <w:start w:w="120" w:type="dxa"/>
              <w:bottom w:w="80" w:type="dxa"/>
              <w:end w:w="120" w:type="dxa"/>
            </w:tcMar>
            <w:vAlign w:val="center"/>
            <w:shd w:fill="F2F6FA"/>
          </w:tcPr>
          <w:p>
            <w:pPr>
              <w:spacing w:before="0" w:after="0" w:line="252" w:lineRule="auto"/>
            </w:pPr>
            <w:r>
              <w:rPr>
                <w:rFonts w:ascii="Aptos" w:hAnsi="Aptos"/>
                <w:sz w:val="17"/>
              </w:rPr>
              <w:t>/imports/{importId}</w:t>
            </w:r>
          </w:p>
        </w:tc>
        <w:tc>
          <w:tcPr>
            <w:tcW w:type="dxa" w:w="3311"/>
            <w:tcMar>
              <w:top w:w="80" w:type="dxa"/>
              <w:start w:w="120" w:type="dxa"/>
              <w:bottom w:w="80" w:type="dxa"/>
              <w:end w:w="120" w:type="dxa"/>
            </w:tcMar>
            <w:vAlign w:val="center"/>
            <w:shd w:fill="F2F6FA"/>
          </w:tcPr>
          <w:p>
            <w:pPr>
              <w:spacing w:before="0" w:after="0" w:line="252" w:lineRule="auto"/>
            </w:pPr>
            <w:r>
              <w:rPr>
                <w:rFonts w:ascii="Aptos" w:hAnsi="Aptos"/>
                <w:sz w:val="17"/>
              </w:rPr>
              <w:t>Get import lineage</w:t>
            </w:r>
          </w:p>
        </w:tc>
      </w:tr>
      <w:tr>
        <w:trPr>
          <w:cantSplit/>
        </w:trPr>
        <w:tc>
          <w:tcPr>
            <w:tcW w:type="dxa" w:w="864"/>
            <w:tcMar>
              <w:top w:w="80" w:type="dxa"/>
              <w:start w:w="120" w:type="dxa"/>
              <w:bottom w:w="80" w:type="dxa"/>
              <w:end w:w="120" w:type="dxa"/>
            </w:tcMar>
            <w:vAlign w:val="center"/>
            <w:shd w:fill="FFFFFF"/>
          </w:tcPr>
          <w:p>
            <w:pPr>
              <w:spacing w:before="0" w:after="0" w:line="252" w:lineRule="auto"/>
            </w:pPr>
            <w:r>
              <w:rPr>
                <w:rFonts w:ascii="Aptos" w:hAnsi="Aptos"/>
                <w:sz w:val="17"/>
              </w:rPr>
              <w:t>GET</w:t>
            </w:r>
          </w:p>
        </w:tc>
        <w:tc>
          <w:tcPr>
            <w:tcW w:type="dxa" w:w="4824"/>
            <w:tcMar>
              <w:top w:w="80" w:type="dxa"/>
              <w:start w:w="120" w:type="dxa"/>
              <w:bottom w:w="80" w:type="dxa"/>
              <w:end w:w="120" w:type="dxa"/>
            </w:tcMar>
            <w:vAlign w:val="center"/>
            <w:shd w:fill="FFFFFF"/>
          </w:tcPr>
          <w:p>
            <w:pPr>
              <w:spacing w:before="0" w:after="0" w:line="252" w:lineRule="auto"/>
            </w:pPr>
            <w:r>
              <w:rPr>
                <w:rFonts w:ascii="Aptos" w:hAnsi="Aptos"/>
                <w:sz w:val="17"/>
              </w:rPr>
              <w:t>/sources/{sourceType}/{sourceId}</w:t>
            </w:r>
          </w:p>
        </w:tc>
        <w:tc>
          <w:tcPr>
            <w:tcW w:type="dxa" w:w="3311"/>
            <w:tcMar>
              <w:top w:w="80" w:type="dxa"/>
              <w:start w:w="120" w:type="dxa"/>
              <w:bottom w:w="80" w:type="dxa"/>
              <w:end w:w="120" w:type="dxa"/>
            </w:tcMar>
            <w:vAlign w:val="center"/>
            <w:shd w:fill="FFFFFF"/>
          </w:tcPr>
          <w:p>
            <w:pPr>
              <w:spacing w:before="0" w:after="0" w:line="252" w:lineRule="auto"/>
            </w:pPr>
            <w:r>
              <w:rPr>
                <w:rFonts w:ascii="Aptos" w:hAnsi="Aptos"/>
                <w:sz w:val="17"/>
              </w:rPr>
              <w:t>Get DataSource or SourceFile downstream lineage</w:t>
            </w:r>
          </w:p>
        </w:tc>
      </w:tr>
      <w:tr>
        <w:trPr>
          <w:cantSplit/>
        </w:trPr>
        <w:tc>
          <w:tcPr>
            <w:tcW w:type="dxa" w:w="864"/>
            <w:tcMar>
              <w:top w:w="80" w:type="dxa"/>
              <w:start w:w="120" w:type="dxa"/>
              <w:bottom w:w="80" w:type="dxa"/>
              <w:end w:w="120" w:type="dxa"/>
            </w:tcMar>
            <w:vAlign w:val="center"/>
            <w:shd w:fill="F2F6FA"/>
          </w:tcPr>
          <w:p>
            <w:pPr>
              <w:spacing w:before="0" w:after="0" w:line="252" w:lineRule="auto"/>
            </w:pPr>
            <w:r>
              <w:rPr>
                <w:rFonts w:ascii="Aptos" w:hAnsi="Aptos"/>
                <w:sz w:val="17"/>
              </w:rPr>
              <w:t>GET</w:t>
            </w:r>
          </w:p>
        </w:tc>
        <w:tc>
          <w:tcPr>
            <w:tcW w:type="dxa" w:w="4824"/>
            <w:tcMar>
              <w:top w:w="80" w:type="dxa"/>
              <w:start w:w="120" w:type="dxa"/>
              <w:bottom w:w="80" w:type="dxa"/>
              <w:end w:w="120" w:type="dxa"/>
            </w:tcMar>
            <w:vAlign w:val="center"/>
            <w:shd w:fill="F2F6FA"/>
          </w:tcPr>
          <w:p>
            <w:pPr>
              <w:spacing w:before="0" w:after="0" w:line="252" w:lineRule="auto"/>
            </w:pPr>
            <w:r>
              <w:rPr>
                <w:rFonts w:ascii="Aptos" w:hAnsi="Aptos"/>
                <w:sz w:val="17"/>
              </w:rPr>
              <w:t>/datasets/{datasetId}/impact</w:t>
            </w:r>
          </w:p>
        </w:tc>
        <w:tc>
          <w:tcPr>
            <w:tcW w:type="dxa" w:w="3311"/>
            <w:tcMar>
              <w:top w:w="80" w:type="dxa"/>
              <w:start w:w="120" w:type="dxa"/>
              <w:bottom w:w="80" w:type="dxa"/>
              <w:end w:w="120" w:type="dxa"/>
            </w:tcMar>
            <w:vAlign w:val="center"/>
            <w:shd w:fill="F2F6FA"/>
          </w:tcPr>
          <w:p>
            <w:pPr>
              <w:spacing w:before="0" w:after="0" w:line="252" w:lineRule="auto"/>
            </w:pPr>
            <w:r>
              <w:rPr>
                <w:rFonts w:ascii="Aptos" w:hAnsi="Aptos"/>
                <w:sz w:val="17"/>
              </w:rPr>
              <w:t>Run general downstream impact analysis</w:t>
            </w:r>
          </w:p>
        </w:tc>
      </w:tr>
    </w:tbl>
    <w:p>
      <w:pPr>
        <w:spacing w:after="60"/>
      </w:pPr>
    </w:p>
    <w:p>
      <w:pPr>
        <w:pStyle w:val="Heading3"/>
        <w:keepNext/>
      </w:pPr>
      <w:r>
        <w:t>Manual relationship request</w:t>
      </w:r>
    </w:p>
    <w:p>
      <w:pPr>
        <w:pStyle w:val="TechnicalCode"/>
      </w:pPr>
      <w:r>
        <w:t>POST /api/lineage/relationships</w:t>
      </w:r>
    </w:p>
    <w:p>
      <w:pPr>
        <w:pStyle w:val="TechnicalCode"/>
      </w:pPr>
      <w:r>
        <w:t>Authorization: Bearer {token}</w:t>
      </w:r>
    </w:p>
    <w:p>
      <w:pPr>
        <w:pStyle w:val="TechnicalCode"/>
      </w:pPr>
      <w:r>
        <w:t>Content-Type: application/json</w:t>
      </w:r>
    </w:p>
    <w:p>
      <w:pPr>
        <w:pStyle w:val="TechnicalCode"/>
      </w:pPr>
      <w:r/>
    </w:p>
    <w:p>
      <w:pPr>
        <w:pStyle w:val="TechnicalCode"/>
      </w:pPr>
      <w:r>
        <w:t>{</w:t>
      </w:r>
    </w:p>
    <w:p>
      <w:pPr>
        <w:pStyle w:val="TechnicalCode"/>
      </w:pPr>
      <w:r>
        <w:t xml:space="preserve">  "sourceEntityType": "Dataset",</w:t>
      </w:r>
    </w:p>
    <w:p>
      <w:pPr>
        <w:pStyle w:val="TechnicalCode"/>
      </w:pPr>
      <w:r>
        <w:t xml:space="preserve">  "sourceEntityId": "11111111-1111-1111-1111-111111111111",</w:t>
      </w:r>
    </w:p>
    <w:p>
      <w:pPr>
        <w:pStyle w:val="TechnicalCode"/>
      </w:pPr>
      <w:r>
        <w:t xml:space="preserve">  "targetEntityType": "Dataset",</w:t>
      </w:r>
    </w:p>
    <w:p>
      <w:pPr>
        <w:pStyle w:val="TechnicalCode"/>
      </w:pPr>
      <w:r>
        <w:t xml:space="preserve">  "targetEntityId": "22222222-2222-2222-2222-222222222222",</w:t>
      </w:r>
    </w:p>
    <w:p>
      <w:pPr>
        <w:pStyle w:val="TechnicalCode"/>
      </w:pPr>
      <w:r>
        <w:t xml:space="preserve">  "relationshipType": "Feeds",</w:t>
      </w:r>
    </w:p>
    <w:p>
      <w:pPr>
        <w:pStyle w:val="TechnicalCode"/>
      </w:pPr>
      <w:r>
        <w:t xml:space="preserve">  "metadata": { "description": "Curated dependency" }</w:t>
      </w:r>
    </w:p>
    <w:p>
      <w:pPr>
        <w:pStyle w:val="TechnicalCode"/>
      </w:pPr>
      <w:r>
        <w:t>}</w:t>
      </w:r>
    </w:p>
    <w:p>
      <w:pPr>
        <w:pStyle w:val="Heading2"/>
        <w:keepNext/>
      </w:pPr>
      <w:r>
        <w:t>Search traversal and impact behavior</w:t>
      </w:r>
    </w:p>
    <w:p>
      <w:r>
        <w:t>Traversal accepts WorkspaceId, Depth and IncludeInactive. Depth defaults to 5 and is limited to 10. Responses return the root, nodes, relationships, requested and traversed depth, and a truncated indicator. Impact responses additionally count affected datasets, versions, imports, transformations and profiles.</w:t>
      </w:r>
    </w:p>
    <w:p>
      <w:r>
        <w:t>Relationship search supports WorkspaceId, DatasetId, SourceType, TargetType, RelationshipType, DatasetVersion, ImportId, CreatedByUserId, OwnerId, FromUtc inclusive, ToUtc exclusive, IsActive, text search, sorting and pagination. Page size defaults to 25 and is limited to 100.</w:t>
      </w:r>
    </w:p>
    <w:p>
      <w:r>
        <w:t>Manual creation validates both references, allowed entity combinations, duplicate active edges, self-reference, workspace equality and dataset cycles. Cross-workspace edges and cycles are rejected for every role, including Platform Administrators. Impact analysis uses bounded breadth-first traversal over active edges and reports general dependencies rather than column-level or change-type-specific consequences.</w:t>
      </w:r>
    </w:p>
    <w:p>
      <w:pPr>
        <w:pStyle w:val="Heading2"/>
        <w:keepNext/>
      </w:pPr>
      <w:r>
        <w:t>Authorization and auditing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40"/>
        <w:gridCol w:w="2340"/>
        <w:gridCol w:w="2340"/>
        <w:gridCol w:w="2340"/>
      </w:tblGrid>
      <w:tr>
        <w:trPr>
          <w:tblHeader w:val="true"/>
          <w:cantSplit/>
        </w:trPr>
        <w:tc>
          <w:tcPr>
            <w:tcW w:type="dxa" w:w="2448"/>
            <w:tcMar>
              <w:top w:w="80" w:type="dxa"/>
              <w:start w:w="120" w:type="dxa"/>
              <w:bottom w:w="80" w:type="dxa"/>
              <w:end w:w="120" w:type="dxa"/>
            </w:tcMar>
            <w:vAlign w:val="center"/>
            <w:shd w:fill="17365D"/>
          </w:tcPr>
          <w:p>
            <w:pPr>
              <w:spacing w:before="0" w:after="0" w:line="252" w:lineRule="auto"/>
            </w:pPr>
            <w:r>
              <w:rPr>
                <w:rFonts w:ascii="Aptos" w:hAnsi="Aptos"/>
                <w:b/>
                <w:color w:val="FFFFFF"/>
                <w:sz w:val="17"/>
              </w:rPr>
              <w:t>Role</w:t>
            </w:r>
          </w:p>
        </w:tc>
        <w:tc>
          <w:tcPr>
            <w:tcW w:type="dxa" w:w="3816"/>
            <w:tcMar>
              <w:top w:w="80" w:type="dxa"/>
              <w:start w:w="120" w:type="dxa"/>
              <w:bottom w:w="80" w:type="dxa"/>
              <w:end w:w="120" w:type="dxa"/>
            </w:tcMar>
            <w:vAlign w:val="center"/>
            <w:shd w:fill="17365D"/>
          </w:tcPr>
          <w:p>
            <w:pPr>
              <w:spacing w:before="0" w:after="0" w:line="252" w:lineRule="auto"/>
            </w:pPr>
            <w:r>
              <w:rPr>
                <w:rFonts w:ascii="Aptos" w:hAnsi="Aptos"/>
                <w:b/>
                <w:color w:val="FFFFFF"/>
                <w:sz w:val="17"/>
              </w:rPr>
              <w:t>View scope</w:t>
            </w:r>
          </w:p>
        </w:tc>
        <w:tc>
          <w:tcPr>
            <w:tcW w:type="dxa" w:w="1152"/>
            <w:tcMar>
              <w:top w:w="80" w:type="dxa"/>
              <w:start w:w="120" w:type="dxa"/>
              <w:bottom w:w="80" w:type="dxa"/>
              <w:end w:w="120" w:type="dxa"/>
            </w:tcMar>
            <w:vAlign w:val="center"/>
            <w:shd w:fill="17365D"/>
          </w:tcPr>
          <w:p>
            <w:pPr>
              <w:spacing w:before="0" w:after="0" w:line="252" w:lineRule="auto"/>
            </w:pPr>
            <w:r>
              <w:rPr>
                <w:rFonts w:ascii="Aptos" w:hAnsi="Aptos"/>
                <w:b/>
                <w:color w:val="FFFFFF"/>
                <w:sz w:val="17"/>
              </w:rPr>
              <w:t>Impact</w:t>
            </w:r>
          </w:p>
        </w:tc>
        <w:tc>
          <w:tcPr>
            <w:tcW w:type="dxa" w:w="1152"/>
            <w:tcMar>
              <w:top w:w="80" w:type="dxa"/>
              <w:start w:w="120" w:type="dxa"/>
              <w:bottom w:w="80" w:type="dxa"/>
              <w:end w:w="120" w:type="dxa"/>
            </w:tcMar>
            <w:vAlign w:val="center"/>
            <w:shd w:fill="17365D"/>
          </w:tcPr>
          <w:p>
            <w:pPr>
              <w:spacing w:before="0" w:after="0" w:line="252" w:lineRule="auto"/>
            </w:pPr>
            <w:r>
              <w:rPr>
                <w:rFonts w:ascii="Aptos" w:hAnsi="Aptos"/>
                <w:b/>
                <w:color w:val="FFFFFF"/>
                <w:sz w:val="17"/>
              </w:rPr>
              <w:t>Manage</w:t>
            </w:r>
          </w:p>
        </w:tc>
      </w:tr>
      <w:tr>
        <w:trPr>
          <w:cantSplit/>
        </w:trPr>
        <w:tc>
          <w:tcPr>
            <w:tcW w:type="dxa" w:w="2448"/>
            <w:tcMar>
              <w:top w:w="80" w:type="dxa"/>
              <w:start w:w="120" w:type="dxa"/>
              <w:bottom w:w="80" w:type="dxa"/>
              <w:end w:w="120" w:type="dxa"/>
            </w:tcMar>
            <w:vAlign w:val="center"/>
            <w:shd w:fill="FFFFFF"/>
          </w:tcPr>
          <w:p>
            <w:pPr>
              <w:spacing w:before="0" w:after="0" w:line="252" w:lineRule="auto"/>
            </w:pPr>
            <w:r>
              <w:rPr>
                <w:rFonts w:ascii="Aptos" w:hAnsi="Aptos"/>
                <w:sz w:val="17"/>
              </w:rPr>
              <w:t>Platform Administrator</w:t>
            </w:r>
          </w:p>
        </w:tc>
        <w:tc>
          <w:tcPr>
            <w:tcW w:type="dxa" w:w="3816"/>
            <w:tcMar>
              <w:top w:w="80" w:type="dxa"/>
              <w:start w:w="120" w:type="dxa"/>
              <w:bottom w:w="80" w:type="dxa"/>
              <w:end w:w="120" w:type="dxa"/>
            </w:tcMar>
            <w:vAlign w:val="center"/>
            <w:shd w:fill="FFFFFF"/>
          </w:tcPr>
          <w:p>
            <w:pPr>
              <w:spacing w:before="0" w:after="0" w:line="252" w:lineRule="auto"/>
            </w:pPr>
            <w:r>
              <w:rPr>
                <w:rFonts w:ascii="Aptos" w:hAnsi="Aptos"/>
                <w:sz w:val="17"/>
              </w:rPr>
              <w:t>All workspaces</w:t>
            </w:r>
          </w:p>
        </w:tc>
        <w:tc>
          <w:tcPr>
            <w:tcW w:type="dxa" w:w="1152"/>
            <w:tcMar>
              <w:top w:w="80" w:type="dxa"/>
              <w:start w:w="120" w:type="dxa"/>
              <w:bottom w:w="80" w:type="dxa"/>
              <w:end w:w="120" w:type="dxa"/>
            </w:tcMar>
            <w:vAlign w:val="center"/>
            <w:shd w:fill="FFFFFF"/>
          </w:tcPr>
          <w:p>
            <w:pPr>
              <w:spacing w:before="0" w:after="0" w:line="252" w:lineRule="auto"/>
            </w:pPr>
            <w:r>
              <w:rPr>
                <w:rFonts w:ascii="Aptos" w:hAnsi="Aptos"/>
                <w:sz w:val="17"/>
              </w:rPr>
              <w:t>Yes</w:t>
            </w:r>
          </w:p>
        </w:tc>
        <w:tc>
          <w:tcPr>
            <w:tcW w:type="dxa" w:w="1152"/>
            <w:tcMar>
              <w:top w:w="80" w:type="dxa"/>
              <w:start w:w="120" w:type="dxa"/>
              <w:bottom w:w="80" w:type="dxa"/>
              <w:end w:w="120" w:type="dxa"/>
            </w:tcMar>
            <w:vAlign w:val="center"/>
            <w:shd w:fill="FFFFFF"/>
          </w:tcPr>
          <w:p>
            <w:pPr>
              <w:spacing w:before="0" w:after="0" w:line="252" w:lineRule="auto"/>
            </w:pPr>
            <w:r>
              <w:rPr>
                <w:rFonts w:ascii="Aptos" w:hAnsi="Aptos"/>
                <w:sz w:val="17"/>
              </w:rPr>
              <w:t>Yes</w:t>
            </w:r>
          </w:p>
        </w:tc>
      </w:tr>
      <w:tr>
        <w:trPr>
          <w:cantSplit/>
        </w:trPr>
        <w:tc>
          <w:tcPr>
            <w:tcW w:type="dxa" w:w="2448"/>
            <w:tcMar>
              <w:top w:w="80" w:type="dxa"/>
              <w:start w:w="120" w:type="dxa"/>
              <w:bottom w:w="80" w:type="dxa"/>
              <w:end w:w="120" w:type="dxa"/>
            </w:tcMar>
            <w:vAlign w:val="center"/>
            <w:shd w:fill="F2F6FA"/>
          </w:tcPr>
          <w:p>
            <w:pPr>
              <w:spacing w:before="0" w:after="0" w:line="252" w:lineRule="auto"/>
            </w:pPr>
            <w:r>
              <w:rPr>
                <w:rFonts w:ascii="Aptos" w:hAnsi="Aptos"/>
                <w:sz w:val="17"/>
              </w:rPr>
              <w:t>Workspace Administrator</w:t>
            </w:r>
          </w:p>
        </w:tc>
        <w:tc>
          <w:tcPr>
            <w:tcW w:type="dxa" w:w="3816"/>
            <w:tcMar>
              <w:top w:w="80" w:type="dxa"/>
              <w:start w:w="120" w:type="dxa"/>
              <w:bottom w:w="80" w:type="dxa"/>
              <w:end w:w="120" w:type="dxa"/>
            </w:tcMar>
            <w:vAlign w:val="center"/>
            <w:shd w:fill="F2F6FA"/>
          </w:tcPr>
          <w:p>
            <w:pPr>
              <w:spacing w:before="0" w:after="0" w:line="252" w:lineRule="auto"/>
            </w:pPr>
            <w:r>
              <w:rPr>
                <w:rFonts w:ascii="Aptos" w:hAnsi="Aptos"/>
                <w:sz w:val="17"/>
              </w:rPr>
              <w:t>Own workspace</w:t>
            </w:r>
          </w:p>
        </w:tc>
        <w:tc>
          <w:tcPr>
            <w:tcW w:type="dxa" w:w="1152"/>
            <w:tcMar>
              <w:top w:w="80" w:type="dxa"/>
              <w:start w:w="120" w:type="dxa"/>
              <w:bottom w:w="80" w:type="dxa"/>
              <w:end w:w="120" w:type="dxa"/>
            </w:tcMar>
            <w:vAlign w:val="center"/>
            <w:shd w:fill="F2F6FA"/>
          </w:tcPr>
          <w:p>
            <w:pPr>
              <w:spacing w:before="0" w:after="0" w:line="252" w:lineRule="auto"/>
            </w:pPr>
            <w:r>
              <w:rPr>
                <w:rFonts w:ascii="Aptos" w:hAnsi="Aptos"/>
                <w:sz w:val="17"/>
              </w:rPr>
              <w:t>Yes</w:t>
            </w:r>
          </w:p>
        </w:tc>
        <w:tc>
          <w:tcPr>
            <w:tcW w:type="dxa" w:w="1152"/>
            <w:tcMar>
              <w:top w:w="80" w:type="dxa"/>
              <w:start w:w="120" w:type="dxa"/>
              <w:bottom w:w="80" w:type="dxa"/>
              <w:end w:w="120" w:type="dxa"/>
            </w:tcMar>
            <w:vAlign w:val="center"/>
            <w:shd w:fill="F2F6FA"/>
          </w:tcPr>
          <w:p>
            <w:pPr>
              <w:spacing w:before="0" w:after="0" w:line="252" w:lineRule="auto"/>
            </w:pPr>
            <w:r>
              <w:rPr>
                <w:rFonts w:ascii="Aptos" w:hAnsi="Aptos"/>
                <w:sz w:val="17"/>
              </w:rPr>
              <w:t>Yes</w:t>
            </w:r>
          </w:p>
        </w:tc>
      </w:tr>
      <w:tr>
        <w:trPr>
          <w:cantSplit/>
        </w:trPr>
        <w:tc>
          <w:tcPr>
            <w:tcW w:type="dxa" w:w="2448"/>
            <w:tcMar>
              <w:top w:w="80" w:type="dxa"/>
              <w:start w:w="120" w:type="dxa"/>
              <w:bottom w:w="80" w:type="dxa"/>
              <w:end w:w="120" w:type="dxa"/>
            </w:tcMar>
            <w:vAlign w:val="center"/>
            <w:shd w:fill="FFFFFF"/>
          </w:tcPr>
          <w:p>
            <w:pPr>
              <w:spacing w:before="0" w:after="0" w:line="252" w:lineRule="auto"/>
            </w:pPr>
            <w:r>
              <w:rPr>
                <w:rFonts w:ascii="Aptos" w:hAnsi="Aptos"/>
                <w:sz w:val="17"/>
              </w:rPr>
              <w:t>Data Analyst</w:t>
            </w:r>
          </w:p>
        </w:tc>
        <w:tc>
          <w:tcPr>
            <w:tcW w:type="dxa" w:w="3816"/>
            <w:tcMar>
              <w:top w:w="80" w:type="dxa"/>
              <w:start w:w="120" w:type="dxa"/>
              <w:bottom w:w="80" w:type="dxa"/>
              <w:end w:w="120" w:type="dxa"/>
            </w:tcMar>
            <w:vAlign w:val="center"/>
            <w:shd w:fill="FFFFFF"/>
          </w:tcPr>
          <w:p>
            <w:pPr>
              <w:spacing w:before="0" w:after="0" w:line="252" w:lineRule="auto"/>
            </w:pPr>
            <w:r>
              <w:rPr>
                <w:rFonts w:ascii="Aptos" w:hAnsi="Aptos"/>
                <w:sz w:val="17"/>
              </w:rPr>
              <w:t>Permitted workspace and datasets</w:t>
            </w:r>
          </w:p>
        </w:tc>
        <w:tc>
          <w:tcPr>
            <w:tcW w:type="dxa" w:w="1152"/>
            <w:tcMar>
              <w:top w:w="80" w:type="dxa"/>
              <w:start w:w="120" w:type="dxa"/>
              <w:bottom w:w="80" w:type="dxa"/>
              <w:end w:w="120" w:type="dxa"/>
            </w:tcMar>
            <w:vAlign w:val="center"/>
            <w:shd w:fill="FFFFFF"/>
          </w:tcPr>
          <w:p>
            <w:pPr>
              <w:spacing w:before="0" w:after="0" w:line="252" w:lineRule="auto"/>
            </w:pPr>
            <w:r>
              <w:rPr>
                <w:rFonts w:ascii="Aptos" w:hAnsi="Aptos"/>
                <w:sz w:val="17"/>
              </w:rPr>
              <w:t>Yes</w:t>
            </w:r>
          </w:p>
        </w:tc>
        <w:tc>
          <w:tcPr>
            <w:tcW w:type="dxa" w:w="1152"/>
            <w:tcMar>
              <w:top w:w="80" w:type="dxa"/>
              <w:start w:w="120" w:type="dxa"/>
              <w:bottom w:w="80" w:type="dxa"/>
              <w:end w:w="120" w:type="dxa"/>
            </w:tcMar>
            <w:vAlign w:val="center"/>
            <w:shd w:fill="FFFFFF"/>
          </w:tcPr>
          <w:p>
            <w:pPr>
              <w:spacing w:before="0" w:after="0" w:line="252" w:lineRule="auto"/>
            </w:pPr>
            <w:r>
              <w:rPr>
                <w:rFonts w:ascii="Aptos" w:hAnsi="Aptos"/>
                <w:sz w:val="17"/>
              </w:rPr>
              <w:t>No</w:t>
            </w:r>
          </w:p>
        </w:tc>
      </w:tr>
      <w:tr>
        <w:trPr>
          <w:cantSplit/>
        </w:trPr>
        <w:tc>
          <w:tcPr>
            <w:tcW w:type="dxa" w:w="2448"/>
            <w:tcMar>
              <w:top w:w="80" w:type="dxa"/>
              <w:start w:w="120" w:type="dxa"/>
              <w:bottom w:w="80" w:type="dxa"/>
              <w:end w:w="120" w:type="dxa"/>
            </w:tcMar>
            <w:vAlign w:val="center"/>
            <w:shd w:fill="F2F6FA"/>
          </w:tcPr>
          <w:p>
            <w:pPr>
              <w:spacing w:before="0" w:after="0" w:line="252" w:lineRule="auto"/>
            </w:pPr>
            <w:r>
              <w:rPr>
                <w:rFonts w:ascii="Aptos" w:hAnsi="Aptos"/>
                <w:sz w:val="17"/>
              </w:rPr>
              <w:t>Business User</w:t>
            </w:r>
          </w:p>
        </w:tc>
        <w:tc>
          <w:tcPr>
            <w:tcW w:type="dxa" w:w="3816"/>
            <w:tcMar>
              <w:top w:w="80" w:type="dxa"/>
              <w:start w:w="120" w:type="dxa"/>
              <w:bottom w:w="80" w:type="dxa"/>
              <w:end w:w="120" w:type="dxa"/>
            </w:tcMar>
            <w:vAlign w:val="center"/>
            <w:shd w:fill="F2F6FA"/>
          </w:tcPr>
          <w:p>
            <w:pPr>
              <w:spacing w:before="0" w:after="0" w:line="252" w:lineRule="auto"/>
            </w:pPr>
            <w:r>
              <w:rPr>
                <w:rFonts w:ascii="Aptos" w:hAnsi="Aptos"/>
                <w:sz w:val="17"/>
              </w:rPr>
              <w:t>Permitted read only</w:t>
            </w:r>
          </w:p>
        </w:tc>
        <w:tc>
          <w:tcPr>
            <w:tcW w:type="dxa" w:w="1152"/>
            <w:tcMar>
              <w:top w:w="80" w:type="dxa"/>
              <w:start w:w="120" w:type="dxa"/>
              <w:bottom w:w="80" w:type="dxa"/>
              <w:end w:w="120" w:type="dxa"/>
            </w:tcMar>
            <w:vAlign w:val="center"/>
            <w:shd w:fill="F2F6FA"/>
          </w:tcPr>
          <w:p>
            <w:pPr>
              <w:spacing w:before="0" w:after="0" w:line="252" w:lineRule="auto"/>
            </w:pPr>
            <w:r>
              <w:rPr>
                <w:rFonts w:ascii="Aptos" w:hAnsi="Aptos"/>
                <w:sz w:val="17"/>
              </w:rPr>
              <w:t>No</w:t>
            </w:r>
          </w:p>
        </w:tc>
        <w:tc>
          <w:tcPr>
            <w:tcW w:type="dxa" w:w="1152"/>
            <w:tcMar>
              <w:top w:w="80" w:type="dxa"/>
              <w:start w:w="120" w:type="dxa"/>
              <w:bottom w:w="80" w:type="dxa"/>
              <w:end w:w="120" w:type="dxa"/>
            </w:tcMar>
            <w:vAlign w:val="center"/>
            <w:shd w:fill="F2F6FA"/>
          </w:tcPr>
          <w:p>
            <w:pPr>
              <w:spacing w:before="0" w:after="0" w:line="252" w:lineRule="auto"/>
            </w:pPr>
            <w:r>
              <w:rPr>
                <w:rFonts w:ascii="Aptos" w:hAnsi="Aptos"/>
                <w:sz w:val="17"/>
              </w:rPr>
              <w:t>No</w:t>
            </w:r>
          </w:p>
        </w:tc>
      </w:tr>
      <w:tr>
        <w:trPr>
          <w:cantSplit/>
        </w:trPr>
        <w:tc>
          <w:tcPr>
            <w:tcW w:type="dxa" w:w="2448"/>
            <w:tcMar>
              <w:top w:w="80" w:type="dxa"/>
              <w:start w:w="120" w:type="dxa"/>
              <w:bottom w:w="80" w:type="dxa"/>
              <w:end w:w="120" w:type="dxa"/>
            </w:tcMar>
            <w:vAlign w:val="center"/>
            <w:shd w:fill="FFFFFF"/>
          </w:tcPr>
          <w:p>
            <w:pPr>
              <w:spacing w:before="0" w:after="0" w:line="252" w:lineRule="auto"/>
            </w:pPr>
            <w:r>
              <w:rPr>
                <w:rFonts w:ascii="Aptos" w:hAnsi="Aptos"/>
                <w:sz w:val="17"/>
              </w:rPr>
              <w:t>Viewer</w:t>
            </w:r>
          </w:p>
        </w:tc>
        <w:tc>
          <w:tcPr>
            <w:tcW w:type="dxa" w:w="3816"/>
            <w:tcMar>
              <w:top w:w="80" w:type="dxa"/>
              <w:start w:w="120" w:type="dxa"/>
              <w:bottom w:w="80" w:type="dxa"/>
              <w:end w:w="120" w:type="dxa"/>
            </w:tcMar>
            <w:vAlign w:val="center"/>
            <w:shd w:fill="FFFFFF"/>
          </w:tcPr>
          <w:p>
            <w:pPr>
              <w:spacing w:before="0" w:after="0" w:line="252" w:lineRule="auto"/>
            </w:pPr>
            <w:r>
              <w:rPr>
                <w:rFonts w:ascii="Aptos" w:hAnsi="Aptos"/>
                <w:sz w:val="17"/>
              </w:rPr>
              <w:t>Permitted read only</w:t>
            </w:r>
          </w:p>
        </w:tc>
        <w:tc>
          <w:tcPr>
            <w:tcW w:type="dxa" w:w="1152"/>
            <w:tcMar>
              <w:top w:w="80" w:type="dxa"/>
              <w:start w:w="120" w:type="dxa"/>
              <w:bottom w:w="80" w:type="dxa"/>
              <w:end w:w="120" w:type="dxa"/>
            </w:tcMar>
            <w:vAlign w:val="center"/>
            <w:shd w:fill="FFFFFF"/>
          </w:tcPr>
          <w:p>
            <w:pPr>
              <w:spacing w:before="0" w:after="0" w:line="252" w:lineRule="auto"/>
            </w:pPr>
            <w:r>
              <w:rPr>
                <w:rFonts w:ascii="Aptos" w:hAnsi="Aptos"/>
                <w:sz w:val="17"/>
              </w:rPr>
              <w:t>No</w:t>
            </w:r>
          </w:p>
        </w:tc>
        <w:tc>
          <w:tcPr>
            <w:tcW w:type="dxa" w:w="1152"/>
            <w:tcMar>
              <w:top w:w="80" w:type="dxa"/>
              <w:start w:w="120" w:type="dxa"/>
              <w:bottom w:w="80" w:type="dxa"/>
              <w:end w:w="120" w:type="dxa"/>
            </w:tcMar>
            <w:vAlign w:val="center"/>
            <w:shd w:fill="FFFFFF"/>
          </w:tcPr>
          <w:p>
            <w:pPr>
              <w:spacing w:before="0" w:after="0" w:line="252" w:lineRule="auto"/>
            </w:pPr>
            <w:r>
              <w:rPr>
                <w:rFonts w:ascii="Aptos" w:hAnsi="Aptos"/>
                <w:sz w:val="17"/>
              </w:rPr>
              <w:t>No</w:t>
            </w:r>
          </w:p>
        </w:tc>
      </w:tr>
    </w:tbl>
    <w:p>
      <w:pPr>
        <w:spacing w:after="60"/>
      </w:pPr>
    </w:p>
    <w:p>
      <w:r>
        <w:t>Permissions are lineage.view, lineage.impact and lineage.manage. Services explicitly validate workspace scope before returning nodes or relationships. Audited actions are Lineage Relationship Created, Lineage Relationship Updated, Lineage Relationship Removed and Impact Analysis Requested. Audit details retain identifiers and operational metadata, not source-file contents or record values.</w:t>
      </w:r>
    </w:p>
    <w:p>
      <w:pPr>
        <w:pStyle w:val="Heading2"/>
        <w:keepNext/>
      </w:pPr>
      <w:r>
        <w:t>Database rollout and performance</w:t>
      </w:r>
    </w:p>
    <w:p>
      <w:r>
        <w:t>The data-lineage migration dated 8 September 2026 creates dbo.LineageRelationships, two restricted foreign keys to Datasets and DatasetVersions, and indexes for workspace, dataset, source, target, owner, creator, process and relevant version lookups. A filtered unique index prevents duplicate active edges. The migration also seeds lineage.view, lineage.manage and lineage.impact in the existing Permissions and RolePermissions tables.</w:t>
      </w:r>
    </w:p>
    <w:p>
      <w:pPr>
        <w:pStyle w:val="TechnicalCode"/>
      </w:pPr>
      <w:r>
        <w:t>dotnet ef database update</w:t>
      </w:r>
    </w:p>
    <w:p>
      <w:r>
        <w:t>After migration, refresh Tables in SSMS and confirm dbo.LineageRelationships and its indexes. The lineage module creates one table and no SQL views. Traversal uses bounded breadth-first batches and DTO projection; the filtered indexes support the read-heavy graph and relationship-search paths.</w:t>
      </w:r>
    </w:p>
    <w:p>
      <w:pPr>
        <w:pStyle w:val="Heading2"/>
        <w:keepNext/>
        <w:pageBreakBefore/>
      </w:pPr>
      <w:r>
        <w:t>Lineage verification status</w:t>
      </w:r>
    </w:p>
    <w:p>
      <w:pPr>
        <w:pStyle w:val="Heading3"/>
        <w:keepNext/>
      </w:pPr>
      <w:r>
        <w:t>Automated checks recorded as complete</w:t>
      </w:r>
    </w:p>
    <w:p>
      <w:pPr>
        <w:pStyle w:val="ListBullet"/>
      </w:pPr>
      <w:r>
        <w:t>Application and lineage test sources compile, and the EF model snapshot has no pending changes.</w:t>
      </w:r>
    </w:p>
    <w:p>
      <w:pPr>
        <w:pStyle w:val="ListBullet"/>
      </w:pPr>
      <w:r>
        <w:t>Automatic capture, retry idempotency and activity-time dataset-version selection are covered.</w:t>
      </w:r>
    </w:p>
    <w:p>
      <w:pPr>
        <w:pStyle w:val="ListBullet"/>
      </w:pPr>
      <w:r>
        <w:t>Upstream, downstream, complete and impact traversal, including depth behavior, are covered.</w:t>
      </w:r>
    </w:p>
    <w:p>
      <w:pPr>
        <w:pStyle w:val="ListBullet"/>
      </w:pPr>
      <w:r>
        <w:t>Duplicate, self-reference, cycle, missing-reference and cross-workspace validation are covered.</w:t>
      </w:r>
    </w:p>
    <w:p>
      <w:pPr>
        <w:pStyle w:val="ListBullet"/>
      </w:pPr>
      <w:r>
        <w:t>Manual metadata update, soft deactivation and automatic-metadata immutability are covered.</w:t>
      </w:r>
    </w:p>
    <w:p>
      <w:pPr>
        <w:pStyle w:val="ListBullet"/>
      </w:pPr>
      <w:r>
        <w:t>Search, sorting, pagination, date handling, empty results and invalid inputs are covered; role-permission seeds, HTTP authentication and authorization, response envelopes and Swagger discovery are also covered.</w:t>
      </w:r>
    </w:p>
    <w:p>
      <w:pPr>
        <w:pStyle w:val="Heading3"/>
        <w:keepNext/>
      </w:pPr>
      <w:r>
        <w:t>Deployment checks still required</w:t>
      </w:r>
    </w:p>
    <w:p>
      <w:pPr>
        <w:pStyle w:val="ListBullet"/>
      </w:pPr>
      <w:r>
        <w:t>Pending: Run dotnet ef database update against a disposable SQL Server database and confirm dbo.LineageRelationships and its indexes in SSMS.</w:t>
      </w:r>
    </w:p>
    <w:p>
      <w:pPr>
        <w:pStyle w:val="ListBullet"/>
      </w:pPr>
      <w:r>
        <w:t>Pending: Run the complete dotnet test suite using the deployment SDK.</w:t>
      </w:r>
    </w:p>
    <w:p>
      <w:pPr>
        <w:pStyle w:val="ListBullet"/>
      </w:pPr>
      <w:r>
        <w:t>Pending: Import and execute the supplied data-lineage Postman collection for each applicable role.</w:t>
      </w:r>
    </w:p>
    <w:p>
      <w:pPr>
        <w:pStyle w:val="ListBullet"/>
      </w:pPr>
      <w:r>
        <w:t>Pending: Create a new import, transformation and quality profile, then verify the automatic lineage edges.</w:t>
      </w:r>
    </w:p>
    <w:p>
      <w:pPr>
        <w:pStyle w:val="ListBullet"/>
      </w:pPr>
      <w:r>
        <w:t>Pending: Confirm that an existing historical activity is not backfilled automatically.</w:t>
      </w:r>
    </w:p>
    <w:p>
      <w:pPr>
        <w:pStyle w:val="ListBullet"/>
      </w:pPr>
      <w:r>
        <w:t>Pending: Confirm that audit entries contain identifiers but no sensitive data values.</w:t>
      </w:r>
    </w:p>
    <w:p>
      <w:pPr>
        <w:pStyle w:val="Heading2"/>
        <w:keepNext/>
      </w:pPr>
      <w:r>
        <w:t>Known limitations</w:t>
      </w:r>
    </w:p>
    <w:p>
      <w:pPr>
        <w:pStyle w:val="ListBullet"/>
      </w:pPr>
      <w:r>
        <w:t>Historical lineage is not backfilled.</w:t>
      </w:r>
    </w:p>
    <w:p>
      <w:pPr>
        <w:pStyle w:val="ListBullet"/>
      </w:pPr>
      <w:r>
        <w:t>Data sources are lightweight derived nodes rather than separately managed table records.</w:t>
      </w:r>
    </w:p>
    <w:p>
      <w:pPr>
        <w:pStyle w:val="ListBullet"/>
      </w:pPr>
      <w:r>
        <w:t>Analytics reports and analytical assets are not stored as lineage nodes.</w:t>
      </w:r>
    </w:p>
    <w:p>
      <w:pPr>
        <w:pStyle w:val="ListBullet"/>
      </w:pPr>
      <w:r>
        <w:t>Column-level lineage and schema-change-specific impact prediction are not provided.</w:t>
      </w:r>
    </w:p>
    <w:p>
      <w:pPr>
        <w:pStyle w:val="ListBullet"/>
      </w:pPr>
      <w:r>
        <w:t>Only Feeds edges between datasets or dataset versions can be created manually.</w:t>
      </w:r>
    </w:p>
    <w:p>
      <w:pPr>
        <w:pStyle w:val="ListBullet"/>
      </w:pPr>
      <w:r>
        <w:t>Traversal depth is limited to 10 and the default node ceiling is 1,000.</w:t>
      </w:r>
    </w:p>
    <w:p>
      <w:pPr>
        <w:pStyle w:val="Heading1"/>
        <w:keepNext/>
      </w:pPr>
      <w:r>
        <w:t>Data governance classification and access policy</w:t>
      </w:r>
    </w:p>
    <w:p>
      <w:pPr>
        <w:pStyle w:val="Heading2"/>
        <w:keepNext/>
      </w:pPr>
      <w:r>
        <w:t>Scope and compatibility</w:t>
      </w:r>
    </w:p>
    <w:p>
      <w:pPr/>
      <w:r>
        <w:t>The governance module adds dataset classification, stewardship, governance review, certification history and a structured access-request workflow on top of the existing dataset, user, workspace, RBAC and audit implementation. Dataset.OwnerId remains the Data Owner; governance metadata adds a separate Data Steward reference. The module does not introduce a second authorization framework or duplicate workspace, user, role or dataset records.</w:t>
      </w:r>
    </w:p>
    <w:p>
      <w:pPr/>
      <w:r>
        <w:t>Existing datasets are backfilled with Internal classification and Draft governance status. Newly registered datasets receive the same defaults. Governance Status remains separate from operational Dataset Status, so an Active dataset can independently be Draft, Under Review, Certified, Expired or Archived for governance purposes.</w:t>
      </w:r>
    </w:p>
    <w:p>
      <w:pPr>
        <w:pStyle w:val="Heading2"/>
        <w:keepNext/>
      </w:pPr>
      <w:r>
        <w:t>Classification and access rules</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rPr>
          <w:tblHeader w:val="true"/>
          <w:cantSplit/>
        </w:trPr>
        <w:tc>
          <w:tcPr>
            <w:tcW w:type="dxa" w:w="1800"/>
            <w:vAlign w:val="center"/>
            <w:tcMar>
              <w:top w:w="90" w:type="dxa"/>
              <w:start w:w="110" w:type="dxa"/>
              <w:bottom w:w="90" w:type="dxa"/>
              <w:end w:w="110" w:type="dxa"/>
            </w:tcMar>
            <w:shd w:fill="1F4E78"/>
          </w:tcPr>
          <w:p>
            <w:pPr>
              <w:spacing w:after="0" w:before="0" w:line="240" w:lineRule="auto"/>
            </w:pPr>
            <w:r>
              <w:rPr>
                <w:b/>
                <w:color w:val="FFFFFF"/>
                <w:sz w:val="18"/>
              </w:rPr>
              <w:t>Classification</w:t>
            </w:r>
          </w:p>
        </w:tc>
        <w:tc>
          <w:tcPr>
            <w:tcW w:type="dxa" w:w="1800"/>
            <w:vAlign w:val="center"/>
            <w:tcMar>
              <w:top w:w="90" w:type="dxa"/>
              <w:start w:w="110" w:type="dxa"/>
              <w:bottom w:w="90" w:type="dxa"/>
              <w:end w:w="110" w:type="dxa"/>
            </w:tcMar>
            <w:shd w:fill="1F4E78"/>
          </w:tcPr>
          <w:p>
            <w:pPr>
              <w:spacing w:after="0" w:before="0" w:line="240" w:lineRule="auto"/>
            </w:pPr>
            <w:r>
              <w:rPr>
                <w:b/>
                <w:color w:val="FFFFFF"/>
                <w:sz w:val="18"/>
              </w:rPr>
              <w:t>Dataset grant</w:t>
            </w:r>
          </w:p>
        </w:tc>
        <w:tc>
          <w:tcPr>
            <w:tcW w:type="dxa" w:w="5760"/>
            <w:vAlign w:val="center"/>
            <w:tcMar>
              <w:top w:w="90" w:type="dxa"/>
              <w:start w:w="110" w:type="dxa"/>
              <w:bottom w:w="90" w:type="dxa"/>
              <w:end w:w="110" w:type="dxa"/>
            </w:tcMar>
            <w:shd w:fill="1F4E78"/>
          </w:tcPr>
          <w:p>
            <w:pPr>
              <w:spacing w:after="0" w:before="0" w:line="240" w:lineRule="auto"/>
            </w:pPr>
            <w:r>
              <w:rPr>
                <w:b/>
                <w:color w:val="FFFFFF"/>
                <w:sz w:val="18"/>
              </w:rPr>
              <w:t>Effective access rule</w:t>
            </w:r>
          </w:p>
        </w:tc>
      </w:tr>
      <w:tr>
        <w:trPr>
          <w:cantSplit/>
        </w:trPr>
        <w:tc>
          <w:tcPr>
            <w:tcW w:type="dxa" w:w="1800"/>
            <w:vAlign w:val="center"/>
            <w:tcMar>
              <w:top w:w="90" w:type="dxa"/>
              <w:start w:w="110" w:type="dxa"/>
              <w:bottom w:w="90" w:type="dxa"/>
              <w:end w:w="110" w:type="dxa"/>
            </w:tcMar>
            <w:shd w:fill="FFFFFF"/>
          </w:tcPr>
          <w:p>
            <w:pPr>
              <w:spacing w:after="0" w:before="0" w:line="240" w:lineRule="auto"/>
            </w:pPr>
            <w:r>
              <w:rPr>
                <w:sz w:val="18"/>
              </w:rPr>
              <w:t>Public</w:t>
            </w:r>
          </w:p>
        </w:tc>
        <w:tc>
          <w:tcPr>
            <w:tcW w:type="dxa" w:w="1800"/>
            <w:vAlign w:val="center"/>
            <w:tcMar>
              <w:top w:w="90" w:type="dxa"/>
              <w:start w:w="110" w:type="dxa"/>
              <w:bottom w:w="90" w:type="dxa"/>
              <w:end w:w="110" w:type="dxa"/>
            </w:tcMar>
            <w:shd w:fill="FFFFFF"/>
          </w:tcPr>
          <w:p>
            <w:pPr>
              <w:spacing w:after="0" w:before="0" w:line="240" w:lineRule="auto"/>
            </w:pPr>
            <w:r>
              <w:rPr>
                <w:sz w:val="18"/>
              </w:rPr>
              <w:t>Not required</w:t>
            </w:r>
          </w:p>
        </w:tc>
        <w:tc>
          <w:tcPr>
            <w:tcW w:type="dxa" w:w="5760"/>
            <w:vAlign w:val="center"/>
            <w:tcMar>
              <w:top w:w="90" w:type="dxa"/>
              <w:start w:w="110" w:type="dxa"/>
              <w:bottom w:w="90" w:type="dxa"/>
              <w:end w:w="110" w:type="dxa"/>
            </w:tcMar>
            <w:shd w:fill="FFFFFF"/>
          </w:tcPr>
          <w:p>
            <w:pPr>
              <w:spacing w:after="0" w:before="0" w:line="240" w:lineRule="auto"/>
            </w:pPr>
            <w:r>
              <w:rPr>
                <w:sz w:val="18"/>
              </w:rPr>
              <w:t>Active workspace membership and existing RBAC permission are sufficient.</w:t>
            </w:r>
          </w:p>
        </w:tc>
      </w:tr>
      <w:tr>
        <w:trPr>
          <w:cantSplit/>
        </w:trPr>
        <w:tc>
          <w:tcPr>
            <w:tcW w:type="dxa" w:w="1800"/>
            <w:vAlign w:val="center"/>
            <w:tcMar>
              <w:top w:w="90" w:type="dxa"/>
              <w:start w:w="110" w:type="dxa"/>
              <w:bottom w:w="90" w:type="dxa"/>
              <w:end w:w="110" w:type="dxa"/>
            </w:tcMar>
            <w:shd w:fill="EAF2F8"/>
          </w:tcPr>
          <w:p>
            <w:pPr>
              <w:spacing w:after="0" w:before="0" w:line="240" w:lineRule="auto"/>
            </w:pPr>
            <w:r>
              <w:rPr>
                <w:sz w:val="18"/>
              </w:rPr>
              <w:t>Internal</w:t>
            </w:r>
          </w:p>
        </w:tc>
        <w:tc>
          <w:tcPr>
            <w:tcW w:type="dxa" w:w="1800"/>
            <w:vAlign w:val="center"/>
            <w:tcMar>
              <w:top w:w="90" w:type="dxa"/>
              <w:start w:w="110" w:type="dxa"/>
              <w:bottom w:w="90" w:type="dxa"/>
              <w:end w:w="110" w:type="dxa"/>
            </w:tcMar>
            <w:shd w:fill="EAF2F8"/>
          </w:tcPr>
          <w:p>
            <w:pPr>
              <w:spacing w:after="0" w:before="0" w:line="240" w:lineRule="auto"/>
            </w:pPr>
            <w:r>
              <w:rPr>
                <w:sz w:val="18"/>
              </w:rPr>
              <w:t>Not required</w:t>
            </w:r>
          </w:p>
        </w:tc>
        <w:tc>
          <w:tcPr>
            <w:tcW w:type="dxa" w:w="5760"/>
            <w:vAlign w:val="center"/>
            <w:tcMar>
              <w:top w:w="90" w:type="dxa"/>
              <w:start w:w="110" w:type="dxa"/>
              <w:bottom w:w="90" w:type="dxa"/>
              <w:end w:w="110" w:type="dxa"/>
            </w:tcMar>
            <w:shd w:fill="EAF2F8"/>
          </w:tcPr>
          <w:p>
            <w:pPr>
              <w:spacing w:after="0" w:before="0" w:line="240" w:lineRule="auto"/>
            </w:pPr>
            <w:r>
              <w:rPr>
                <w:sz w:val="18"/>
              </w:rPr>
              <w:t>Active workspace membership and existing RBAC permission are sufficient.</w:t>
            </w:r>
          </w:p>
        </w:tc>
      </w:tr>
      <w:tr>
        <w:trPr>
          <w:cantSplit/>
        </w:trPr>
        <w:tc>
          <w:tcPr>
            <w:tcW w:type="dxa" w:w="1800"/>
            <w:vAlign w:val="center"/>
            <w:tcMar>
              <w:top w:w="90" w:type="dxa"/>
              <w:start w:w="110" w:type="dxa"/>
              <w:bottom w:w="90" w:type="dxa"/>
              <w:end w:w="110" w:type="dxa"/>
            </w:tcMar>
            <w:shd w:fill="FFFFFF"/>
          </w:tcPr>
          <w:p>
            <w:pPr>
              <w:spacing w:after="0" w:before="0" w:line="240" w:lineRule="auto"/>
            </w:pPr>
            <w:r>
              <w:rPr>
                <w:sz w:val="18"/>
              </w:rPr>
              <w:t>Confidential</w:t>
            </w:r>
          </w:p>
        </w:tc>
        <w:tc>
          <w:tcPr>
            <w:tcW w:type="dxa" w:w="1800"/>
            <w:vAlign w:val="center"/>
            <w:tcMar>
              <w:top w:w="90" w:type="dxa"/>
              <w:start w:w="110" w:type="dxa"/>
              <w:bottom w:w="90" w:type="dxa"/>
              <w:end w:w="110" w:type="dxa"/>
            </w:tcMar>
            <w:shd w:fill="FFFFFF"/>
          </w:tcPr>
          <w:p>
            <w:pPr>
              <w:spacing w:after="0" w:before="0" w:line="240" w:lineRule="auto"/>
            </w:pPr>
            <w:r>
              <w:rPr>
                <w:sz w:val="18"/>
              </w:rPr>
              <w:t>Required</w:t>
            </w:r>
          </w:p>
        </w:tc>
        <w:tc>
          <w:tcPr>
            <w:tcW w:type="dxa" w:w="5760"/>
            <w:vAlign w:val="center"/>
            <w:tcMar>
              <w:top w:w="90" w:type="dxa"/>
              <w:start w:w="110" w:type="dxa"/>
              <w:bottom w:w="90" w:type="dxa"/>
              <w:end w:w="110" w:type="dxa"/>
            </w:tcMar>
            <w:shd w:fill="FFFFFF"/>
          </w:tcPr>
          <w:p>
            <w:pPr>
              <w:spacing w:after="0" w:before="0" w:line="240" w:lineRule="auto"/>
            </w:pPr>
            <w:r>
              <w:rPr>
                <w:sz w:val="18"/>
              </w:rPr>
              <w:t>Owner, steward, administrator or an active grant with a sufficient level.</w:t>
            </w:r>
          </w:p>
        </w:tc>
      </w:tr>
      <w:tr>
        <w:trPr>
          <w:cantSplit/>
        </w:trPr>
        <w:tc>
          <w:tcPr>
            <w:tcW w:type="dxa" w:w="1800"/>
            <w:vAlign w:val="center"/>
            <w:tcMar>
              <w:top w:w="90" w:type="dxa"/>
              <w:start w:w="110" w:type="dxa"/>
              <w:bottom w:w="90" w:type="dxa"/>
              <w:end w:w="110" w:type="dxa"/>
            </w:tcMar>
            <w:shd w:fill="EAF2F8"/>
          </w:tcPr>
          <w:p>
            <w:pPr>
              <w:spacing w:after="0" w:before="0" w:line="240" w:lineRule="auto"/>
            </w:pPr>
            <w:r>
              <w:rPr>
                <w:sz w:val="18"/>
              </w:rPr>
              <w:t>Restricted</w:t>
            </w:r>
          </w:p>
        </w:tc>
        <w:tc>
          <w:tcPr>
            <w:tcW w:type="dxa" w:w="1800"/>
            <w:vAlign w:val="center"/>
            <w:tcMar>
              <w:top w:w="90" w:type="dxa"/>
              <w:start w:w="110" w:type="dxa"/>
              <w:bottom w:w="90" w:type="dxa"/>
              <w:end w:w="110" w:type="dxa"/>
            </w:tcMar>
            <w:shd w:fill="EAF2F8"/>
          </w:tcPr>
          <w:p>
            <w:pPr>
              <w:spacing w:after="0" w:before="0" w:line="240" w:lineRule="auto"/>
            </w:pPr>
            <w:r>
              <w:rPr>
                <w:sz w:val="18"/>
              </w:rPr>
              <w:t>Required</w:t>
            </w:r>
          </w:p>
        </w:tc>
        <w:tc>
          <w:tcPr>
            <w:tcW w:type="dxa" w:w="5760"/>
            <w:vAlign w:val="center"/>
            <w:tcMar>
              <w:top w:w="90" w:type="dxa"/>
              <w:start w:w="110" w:type="dxa"/>
              <w:bottom w:w="90" w:type="dxa"/>
              <w:end w:w="110" w:type="dxa"/>
            </w:tcMar>
            <w:shd w:fill="EAF2F8"/>
          </w:tcPr>
          <w:p>
            <w:pPr>
              <w:spacing w:after="0" w:before="0" w:line="240" w:lineRule="auto"/>
            </w:pPr>
            <w:r>
              <w:rPr>
                <w:sz w:val="18"/>
              </w:rPr>
              <w:t>Highest sensitivity; owner, steward, administrator or an active sufficient grant.</w:t>
            </w:r>
          </w:p>
        </w:tc>
      </w:tr>
    </w:tbl>
    <w:p>
      <w:pPr/>
      <w:r>
        <w:t>Dataset grant levels are hierarchical: Read permits view and read-only operations; Write includes Read and permits supported import/modification operations; Manage includes Write and dataset-level management, still subject to platform permissions. A grant supplements RBAC and never creates a permission that the assigned role does not possess. Owner, steward and workspace/platform administrators receive implicit Manage access within their authorized workspace.</w:t>
      </w:r>
    </w:p>
    <w:p>
      <w:pPr>
        <w:pStyle w:val="Heading2"/>
        <w:keepNext/>
      </w:pPr>
      <w:r>
        <w:t>Governance metadata and lifecycle</w:t>
      </w:r>
    </w:p>
    <w:p>
      <w:pPr>
        <w:pStyle w:val="ListBullet"/>
      </w:pPr>
      <w:r>
        <w:t>Governance metadata records Data Steward, business description, governance status, classification, last reviewed date and next review date. Data Owner continues to use Dataset.OwnerId.</w:t>
      </w:r>
    </w:p>
    <w:p>
      <w:pPr>
        <w:pStyle w:val="ListBullet"/>
      </w:pPr>
      <w:r>
        <w:t>Owner and steward assignments must reference active users in the same workspace. Cross-workspace identifiers are rejected without disclosing protected resource details.</w:t>
      </w:r>
    </w:p>
    <w:p>
      <w:pPr>
        <w:pStyle w:val="ListBullet"/>
      </w:pPr>
      <w:r>
        <w:t>Supported lifecycle: Draft → Under Review → Certified → Expired. Draft, Under Review, Certified and Expired may transition to Archived; rejected reviews return Under Review to Draft; an Archived record may be restored to Draft; a Certified record may return to Under Review for recertification.</w:t>
      </w:r>
    </w:p>
    <w:p>
      <w:pPr>
        <w:pStyle w:val="ListBullet"/>
      </w:pPr>
      <w:r>
        <w:t>Invalid lifecycle transitions, unsupported classifications and inconsistent review dates are rejected through service validation and database check constraints.</w:t>
      </w:r>
    </w:p>
    <w:p>
      <w:pPr>
        <w:pStyle w:val="Heading2"/>
        <w:keepNext/>
      </w:pPr>
      <w:r>
        <w:t>Dataset certification</w:t>
      </w:r>
    </w:p>
    <w:p>
      <w:pPr/>
      <w:r>
        <w:t>Authorized users submit a dataset for certification, creating a Pending certification record. An authorized reviewer certifies or rejects it and records the reviewer, decision date, review/expiry date and optional comments. Approval requires a future review/expiry date. Certification rows retain the full review history; only a pending record is completed by its review action. Effective governance and dashboard calculations treat a certified record past its review date as expired.</w:t>
      </w:r>
    </w:p>
    <w:p>
      <w:pPr>
        <w:pStyle w:val="Heading2"/>
        <w:keepNext/>
      </w:pPr>
      <w:r>
        <w:t>Access request approval and revocation</w:t>
      </w:r>
    </w:p>
    <w:p>
      <w:pPr>
        <w:pStyle w:val="ListBullet"/>
      </w:pPr>
      <w:r>
        <w:t>A workspace user requests Read, Write or Manage access with a business justification and optional requested expiry date.</w:t>
      </w:r>
    </w:p>
    <w:p>
      <w:pPr>
        <w:pStyle w:val="ListBullet"/>
      </w:pPr>
      <w:r>
        <w:t>Only the dataset owner, steward, workspace administrator or platform administrator can approve or reject a request, and a requester cannot review their own request.</w:t>
      </w:r>
    </w:p>
    <w:p>
      <w:pPr>
        <w:pStyle w:val="ListBullet"/>
      </w:pPr>
      <w:r>
        <w:t>Approval creates or updates an active DatasetAccessGrant with dataset, user, access level, granting user, granted date, optional expiry and source request. Rejection records the reviewer and comments without creating a grant.</w:t>
      </w:r>
    </w:p>
    <w:p>
      <w:pPr>
        <w:pStyle w:val="ListBullet"/>
      </w:pPr>
      <w:r>
        <w:t>Revocation changes the approved request and active grant to revoked status and records the actor, date and reason. Pending, Approved, Rejected and Revoked request states and all decision events remain available as history.</w:t>
      </w:r>
    </w:p>
    <w:p>
      <w:pPr>
        <w:pStyle w:val="ListBullet"/>
      </w:pPr>
      <w:r>
        <w:t>Only one equivalent Pending request and one Active grant are allowed for a dataset/user scope; grant expiry is evaluated on every access decision.</w:t>
      </w:r>
    </w:p>
    <w:p>
      <w:pPr>
        <w:pStyle w:val="Heading2"/>
        <w:keepNext/>
      </w:pPr>
      <w:r>
        <w:t>Policy enforcement</w:t>
      </w:r>
    </w:p>
    <w:p>
      <w:pPr/>
      <w:r>
        <w:t>IDatasetAccessPolicy is the shared dataset-level decision service. It is integrated into Dataset Management, Data Import, Transformation/Processing, Data Quality, Data Lineage, Analytics and Reports. Existing controller permission policies remain in force, workspace query filters continue to isolate tenants, and unauthorized cross-workspace resources are returned as not found to limit information disclosure.</w:t>
      </w:r>
    </w:p>
    <w:p>
      <w:pPr>
        <w:pStyle w:val="Heading2"/>
        <w:keepNext/>
      </w:pPr>
      <w:r>
        <w:t>Governance API reference</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rPr>
          <w:tblHeader w:val="true"/>
          <w:cantSplit/>
        </w:trPr>
        <w:tc>
          <w:tcPr>
            <w:tcW w:type="dxa" w:w="1008"/>
            <w:vAlign w:val="center"/>
            <w:tcMar>
              <w:top w:w="90" w:type="dxa"/>
              <w:start w:w="110" w:type="dxa"/>
              <w:bottom w:w="90" w:type="dxa"/>
              <w:end w:w="110" w:type="dxa"/>
            </w:tcMar>
            <w:shd w:fill="1F4E78"/>
          </w:tcPr>
          <w:p>
            <w:pPr>
              <w:spacing w:after="0" w:before="0" w:line="240" w:lineRule="auto"/>
            </w:pPr>
            <w:r>
              <w:rPr>
                <w:b/>
                <w:color w:val="FFFFFF"/>
                <w:sz w:val="18"/>
              </w:rPr>
              <w:t>Method</w:t>
            </w:r>
          </w:p>
        </w:tc>
        <w:tc>
          <w:tcPr>
            <w:tcW w:type="dxa" w:w="5544"/>
            <w:vAlign w:val="center"/>
            <w:tcMar>
              <w:top w:w="90" w:type="dxa"/>
              <w:start w:w="110" w:type="dxa"/>
              <w:bottom w:w="90" w:type="dxa"/>
              <w:end w:w="110" w:type="dxa"/>
            </w:tcMar>
            <w:shd w:fill="1F4E78"/>
          </w:tcPr>
          <w:p>
            <w:pPr>
              <w:spacing w:after="0" w:before="0" w:line="240" w:lineRule="auto"/>
            </w:pPr>
            <w:r>
              <w:rPr>
                <w:b/>
                <w:color w:val="FFFFFF"/>
                <w:sz w:val="18"/>
              </w:rPr>
              <w:t>Route</w:t>
            </w:r>
          </w:p>
        </w:tc>
        <w:tc>
          <w:tcPr>
            <w:tcW w:type="dxa" w:w="2808"/>
            <w:vAlign w:val="center"/>
            <w:tcMar>
              <w:top w:w="90" w:type="dxa"/>
              <w:start w:w="110" w:type="dxa"/>
              <w:bottom w:w="90" w:type="dxa"/>
              <w:end w:w="110" w:type="dxa"/>
            </w:tcMar>
            <w:shd w:fill="1F4E78"/>
          </w:tcPr>
          <w:p>
            <w:pPr>
              <w:spacing w:after="0" w:before="0" w:line="240" w:lineRule="auto"/>
            </w:pPr>
            <w:r>
              <w:rPr>
                <w:b/>
                <w:color w:val="FFFFFF"/>
                <w:sz w:val="18"/>
              </w:rPr>
              <w:t>Purpose</w:t>
            </w:r>
          </w:p>
        </w:tc>
      </w:tr>
      <w:tr>
        <w:trPr>
          <w:cantSplit/>
        </w:trPr>
        <w:tc>
          <w:tcPr>
            <w:tcW w:type="dxa" w:w="1008"/>
            <w:vAlign w:val="center"/>
            <w:tcMar>
              <w:top w:w="90" w:type="dxa"/>
              <w:start w:w="110" w:type="dxa"/>
              <w:bottom w:w="90" w:type="dxa"/>
              <w:end w:w="110" w:type="dxa"/>
            </w:tcMar>
            <w:shd w:fill="FFFFFF"/>
          </w:tcPr>
          <w:p>
            <w:pPr>
              <w:spacing w:after="0" w:before="0" w:line="240" w:lineRule="auto"/>
            </w:pPr>
            <w:r>
              <w:rPr>
                <w:sz w:val="18"/>
              </w:rPr>
              <w:t>PUT</w:t>
            </w:r>
          </w:p>
        </w:tc>
        <w:tc>
          <w:tcPr>
            <w:tcW w:type="dxa" w:w="5544"/>
            <w:vAlign w:val="center"/>
            <w:tcMar>
              <w:top w:w="90" w:type="dxa"/>
              <w:start w:w="110" w:type="dxa"/>
              <w:bottom w:w="90" w:type="dxa"/>
              <w:end w:w="110" w:type="dxa"/>
            </w:tcMar>
            <w:shd w:fill="FFFFFF"/>
          </w:tcPr>
          <w:p>
            <w:pPr>
              <w:spacing w:after="0" w:before="0" w:line="240" w:lineRule="auto"/>
            </w:pPr>
            <w:r>
              <w:rPr>
                <w:sz w:val="18"/>
              </w:rPr>
              <w:t>/api/governance/datasets/{datasetId}</w:t>
            </w:r>
          </w:p>
        </w:tc>
        <w:tc>
          <w:tcPr>
            <w:tcW w:type="dxa" w:w="2808"/>
            <w:vAlign w:val="center"/>
            <w:tcMar>
              <w:top w:w="90" w:type="dxa"/>
              <w:start w:w="110" w:type="dxa"/>
              <w:bottom w:w="90" w:type="dxa"/>
              <w:end w:w="110" w:type="dxa"/>
            </w:tcMar>
            <w:shd w:fill="FFFFFF"/>
          </w:tcPr>
          <w:p>
            <w:pPr>
              <w:spacing w:after="0" w:before="0" w:line="240" w:lineRule="auto"/>
            </w:pPr>
            <w:r>
              <w:rPr>
                <w:sz w:val="18"/>
              </w:rPr>
              <w:t>Create or update governance metadata</w:t>
            </w:r>
          </w:p>
        </w:tc>
      </w:tr>
      <w:tr>
        <w:trPr>
          <w:cantSplit/>
        </w:trPr>
        <w:tc>
          <w:tcPr>
            <w:tcW w:type="dxa" w:w="1008"/>
            <w:vAlign w:val="center"/>
            <w:tcMar>
              <w:top w:w="90" w:type="dxa"/>
              <w:start w:w="110" w:type="dxa"/>
              <w:bottom w:w="90" w:type="dxa"/>
              <w:end w:w="110" w:type="dxa"/>
            </w:tcMar>
            <w:shd w:fill="EAF2F8"/>
          </w:tcPr>
          <w:p>
            <w:pPr>
              <w:spacing w:after="0" w:before="0" w:line="240" w:lineRule="auto"/>
            </w:pPr>
            <w:r>
              <w:rPr>
                <w:sz w:val="18"/>
              </w:rPr>
              <w:t>GET</w:t>
            </w:r>
          </w:p>
        </w:tc>
        <w:tc>
          <w:tcPr>
            <w:tcW w:type="dxa" w:w="5544"/>
            <w:vAlign w:val="center"/>
            <w:tcMar>
              <w:top w:w="90" w:type="dxa"/>
              <w:start w:w="110" w:type="dxa"/>
              <w:bottom w:w="90" w:type="dxa"/>
              <w:end w:w="110" w:type="dxa"/>
            </w:tcMar>
            <w:shd w:fill="EAF2F8"/>
          </w:tcPr>
          <w:p>
            <w:pPr>
              <w:spacing w:after="0" w:before="0" w:line="240" w:lineRule="auto"/>
            </w:pPr>
            <w:r>
              <w:rPr>
                <w:sz w:val="18"/>
              </w:rPr>
              <w:t>/api/governance/datasets/{datasetId}</w:t>
            </w:r>
          </w:p>
        </w:tc>
        <w:tc>
          <w:tcPr>
            <w:tcW w:type="dxa" w:w="2808"/>
            <w:vAlign w:val="center"/>
            <w:tcMar>
              <w:top w:w="90" w:type="dxa"/>
              <w:start w:w="110" w:type="dxa"/>
              <w:bottom w:w="90" w:type="dxa"/>
              <w:end w:w="110" w:type="dxa"/>
            </w:tcMar>
            <w:shd w:fill="EAF2F8"/>
          </w:tcPr>
          <w:p>
            <w:pPr>
              <w:spacing w:after="0" w:before="0" w:line="240" w:lineRule="auto"/>
            </w:pPr>
            <w:r>
              <w:rPr>
                <w:sz w:val="18"/>
              </w:rPr>
              <w:t>Get governance details</w:t>
            </w:r>
          </w:p>
        </w:tc>
      </w:tr>
      <w:tr>
        <w:trPr>
          <w:cantSplit/>
        </w:trPr>
        <w:tc>
          <w:tcPr>
            <w:tcW w:type="dxa" w:w="1008"/>
            <w:vAlign w:val="center"/>
            <w:tcMar>
              <w:top w:w="90" w:type="dxa"/>
              <w:start w:w="110" w:type="dxa"/>
              <w:bottom w:w="90" w:type="dxa"/>
              <w:end w:w="110" w:type="dxa"/>
            </w:tcMar>
            <w:shd w:fill="FFFFFF"/>
          </w:tcPr>
          <w:p>
            <w:pPr>
              <w:spacing w:after="0" w:before="0" w:line="240" w:lineRule="auto"/>
            </w:pPr>
            <w:r>
              <w:rPr>
                <w:sz w:val="18"/>
              </w:rPr>
              <w:t>PATCH</w:t>
            </w:r>
          </w:p>
        </w:tc>
        <w:tc>
          <w:tcPr>
            <w:tcW w:type="dxa" w:w="5544"/>
            <w:vAlign w:val="center"/>
            <w:tcMar>
              <w:top w:w="90" w:type="dxa"/>
              <w:start w:w="110" w:type="dxa"/>
              <w:bottom w:w="90" w:type="dxa"/>
              <w:end w:w="110" w:type="dxa"/>
            </w:tcMar>
            <w:shd w:fill="FFFFFF"/>
          </w:tcPr>
          <w:p>
            <w:pPr>
              <w:spacing w:after="0" w:before="0" w:line="240" w:lineRule="auto"/>
            </w:pPr>
            <w:r>
              <w:rPr>
                <w:sz w:val="18"/>
              </w:rPr>
              <w:t>/api/governance/datasets/{datasetId}/classification</w:t>
            </w:r>
          </w:p>
        </w:tc>
        <w:tc>
          <w:tcPr>
            <w:tcW w:type="dxa" w:w="2808"/>
            <w:vAlign w:val="center"/>
            <w:tcMar>
              <w:top w:w="90" w:type="dxa"/>
              <w:start w:w="110" w:type="dxa"/>
              <w:bottom w:w="90" w:type="dxa"/>
              <w:end w:w="110" w:type="dxa"/>
            </w:tcMar>
            <w:shd w:fill="FFFFFF"/>
          </w:tcPr>
          <w:p>
            <w:pPr>
              <w:spacing w:after="0" w:before="0" w:line="240" w:lineRule="auto"/>
            </w:pPr>
            <w:r>
              <w:rPr>
                <w:sz w:val="18"/>
              </w:rPr>
              <w:t>Change classification</w:t>
            </w:r>
          </w:p>
        </w:tc>
      </w:tr>
      <w:tr>
        <w:trPr>
          <w:cantSplit/>
        </w:trPr>
        <w:tc>
          <w:tcPr>
            <w:tcW w:type="dxa" w:w="1008"/>
            <w:vAlign w:val="center"/>
            <w:tcMar>
              <w:top w:w="90" w:type="dxa"/>
              <w:start w:w="110" w:type="dxa"/>
              <w:bottom w:w="90" w:type="dxa"/>
              <w:end w:w="110" w:type="dxa"/>
            </w:tcMar>
            <w:shd w:fill="EAF2F8"/>
          </w:tcPr>
          <w:p>
            <w:pPr>
              <w:spacing w:after="0" w:before="0" w:line="240" w:lineRule="auto"/>
            </w:pPr>
            <w:r>
              <w:rPr>
                <w:sz w:val="18"/>
              </w:rPr>
              <w:t>PATCH</w:t>
            </w:r>
          </w:p>
        </w:tc>
        <w:tc>
          <w:tcPr>
            <w:tcW w:type="dxa" w:w="5544"/>
            <w:vAlign w:val="center"/>
            <w:tcMar>
              <w:top w:w="90" w:type="dxa"/>
              <w:start w:w="110" w:type="dxa"/>
              <w:bottom w:w="90" w:type="dxa"/>
              <w:end w:w="110" w:type="dxa"/>
            </w:tcMar>
            <w:shd w:fill="EAF2F8"/>
          </w:tcPr>
          <w:p>
            <w:pPr>
              <w:spacing w:after="0" w:before="0" w:line="240" w:lineRule="auto"/>
            </w:pPr>
            <w:r>
              <w:rPr>
                <w:sz w:val="18"/>
              </w:rPr>
              <w:t>/api/governance/datasets/{datasetId}/steward</w:t>
            </w:r>
          </w:p>
        </w:tc>
        <w:tc>
          <w:tcPr>
            <w:tcW w:type="dxa" w:w="2808"/>
            <w:vAlign w:val="center"/>
            <w:tcMar>
              <w:top w:w="90" w:type="dxa"/>
              <w:start w:w="110" w:type="dxa"/>
              <w:bottom w:w="90" w:type="dxa"/>
              <w:end w:w="110" w:type="dxa"/>
            </w:tcMar>
            <w:shd w:fill="EAF2F8"/>
          </w:tcPr>
          <w:p>
            <w:pPr>
              <w:spacing w:after="0" w:before="0" w:line="240" w:lineRule="auto"/>
            </w:pPr>
            <w:r>
              <w:rPr>
                <w:sz w:val="18"/>
              </w:rPr>
              <w:t>Assign Data Owner and Data Steward</w:t>
            </w:r>
          </w:p>
        </w:tc>
      </w:tr>
      <w:tr>
        <w:trPr>
          <w:cantSplit/>
        </w:trPr>
        <w:tc>
          <w:tcPr>
            <w:tcW w:type="dxa" w:w="1008"/>
            <w:vAlign w:val="center"/>
            <w:tcMar>
              <w:top w:w="90" w:type="dxa"/>
              <w:start w:w="110" w:type="dxa"/>
              <w:bottom w:w="90" w:type="dxa"/>
              <w:end w:w="110" w:type="dxa"/>
            </w:tcMar>
            <w:shd w:fill="FFFFFF"/>
          </w:tcPr>
          <w:p>
            <w:pPr>
              <w:spacing w:after="0" w:before="0" w:line="240" w:lineRule="auto"/>
            </w:pPr>
            <w:r>
              <w:rPr>
                <w:sz w:val="18"/>
              </w:rPr>
              <w:t>POST</w:t>
            </w:r>
          </w:p>
        </w:tc>
        <w:tc>
          <w:tcPr>
            <w:tcW w:type="dxa" w:w="5544"/>
            <w:vAlign w:val="center"/>
            <w:tcMar>
              <w:top w:w="90" w:type="dxa"/>
              <w:start w:w="110" w:type="dxa"/>
              <w:bottom w:w="90" w:type="dxa"/>
              <w:end w:w="110" w:type="dxa"/>
            </w:tcMar>
            <w:shd w:fill="FFFFFF"/>
          </w:tcPr>
          <w:p>
            <w:pPr>
              <w:spacing w:after="0" w:before="0" w:line="240" w:lineRule="auto"/>
            </w:pPr>
            <w:r>
              <w:rPr>
                <w:sz w:val="18"/>
              </w:rPr>
              <w:t>/api/governance/datasets/{datasetId}/certifications</w:t>
            </w:r>
          </w:p>
        </w:tc>
        <w:tc>
          <w:tcPr>
            <w:tcW w:type="dxa" w:w="2808"/>
            <w:vAlign w:val="center"/>
            <w:tcMar>
              <w:top w:w="90" w:type="dxa"/>
              <w:start w:w="110" w:type="dxa"/>
              <w:bottom w:w="90" w:type="dxa"/>
              <w:end w:w="110" w:type="dxa"/>
            </w:tcMar>
            <w:shd w:fill="FFFFFF"/>
          </w:tcPr>
          <w:p>
            <w:pPr>
              <w:spacing w:after="0" w:before="0" w:line="240" w:lineRule="auto"/>
            </w:pPr>
            <w:r>
              <w:rPr>
                <w:sz w:val="18"/>
              </w:rPr>
              <w:t>Submit for certification</w:t>
            </w:r>
          </w:p>
        </w:tc>
      </w:tr>
      <w:tr>
        <w:trPr>
          <w:cantSplit/>
        </w:trPr>
        <w:tc>
          <w:tcPr>
            <w:tcW w:type="dxa" w:w="1008"/>
            <w:vAlign w:val="center"/>
            <w:tcMar>
              <w:top w:w="90" w:type="dxa"/>
              <w:start w:w="110" w:type="dxa"/>
              <w:bottom w:w="90" w:type="dxa"/>
              <w:end w:w="110" w:type="dxa"/>
            </w:tcMar>
            <w:shd w:fill="EAF2F8"/>
          </w:tcPr>
          <w:p>
            <w:pPr>
              <w:spacing w:after="0" w:before="0" w:line="240" w:lineRule="auto"/>
            </w:pPr>
            <w:r>
              <w:rPr>
                <w:sz w:val="18"/>
              </w:rPr>
              <w:t>POST</w:t>
            </w:r>
          </w:p>
        </w:tc>
        <w:tc>
          <w:tcPr>
            <w:tcW w:type="dxa" w:w="5544"/>
            <w:vAlign w:val="center"/>
            <w:tcMar>
              <w:top w:w="90" w:type="dxa"/>
              <w:start w:w="110" w:type="dxa"/>
              <w:bottom w:w="90" w:type="dxa"/>
              <w:end w:w="110" w:type="dxa"/>
            </w:tcMar>
            <w:shd w:fill="EAF2F8"/>
          </w:tcPr>
          <w:p>
            <w:pPr>
              <w:spacing w:after="0" w:before="0" w:line="240" w:lineRule="auto"/>
            </w:pPr>
            <w:r>
              <w:rPr>
                <w:sz w:val="18"/>
              </w:rPr>
              <w:t>/api/governance/certifications/{id}/review</w:t>
            </w:r>
          </w:p>
        </w:tc>
        <w:tc>
          <w:tcPr>
            <w:tcW w:type="dxa" w:w="2808"/>
            <w:vAlign w:val="center"/>
            <w:tcMar>
              <w:top w:w="90" w:type="dxa"/>
              <w:start w:w="110" w:type="dxa"/>
              <w:bottom w:w="90" w:type="dxa"/>
              <w:end w:w="110" w:type="dxa"/>
            </w:tcMar>
            <w:shd w:fill="EAF2F8"/>
          </w:tcPr>
          <w:p>
            <w:pPr>
              <w:spacing w:after="0" w:before="0" w:line="240" w:lineRule="auto"/>
            </w:pPr>
            <w:r>
              <w:rPr>
                <w:sz w:val="18"/>
              </w:rPr>
              <w:t>Certify or reject</w:t>
            </w:r>
          </w:p>
        </w:tc>
      </w:tr>
      <w:tr>
        <w:trPr>
          <w:cantSplit/>
        </w:trPr>
        <w:tc>
          <w:tcPr>
            <w:tcW w:type="dxa" w:w="1008"/>
            <w:vAlign w:val="center"/>
            <w:tcMar>
              <w:top w:w="90" w:type="dxa"/>
              <w:start w:w="110" w:type="dxa"/>
              <w:bottom w:w="90" w:type="dxa"/>
              <w:end w:w="110" w:type="dxa"/>
            </w:tcMar>
            <w:shd w:fill="FFFFFF"/>
          </w:tcPr>
          <w:p>
            <w:pPr>
              <w:spacing w:after="0" w:before="0" w:line="240" w:lineRule="auto"/>
            </w:pPr>
            <w:r>
              <w:rPr>
                <w:sz w:val="18"/>
              </w:rPr>
              <w:t>GET</w:t>
            </w:r>
          </w:p>
        </w:tc>
        <w:tc>
          <w:tcPr>
            <w:tcW w:type="dxa" w:w="5544"/>
            <w:vAlign w:val="center"/>
            <w:tcMar>
              <w:top w:w="90" w:type="dxa"/>
              <w:start w:w="110" w:type="dxa"/>
              <w:bottom w:w="90" w:type="dxa"/>
              <w:end w:w="110" w:type="dxa"/>
            </w:tcMar>
            <w:shd w:fill="FFFFFF"/>
          </w:tcPr>
          <w:p>
            <w:pPr>
              <w:spacing w:after="0" w:before="0" w:line="240" w:lineRule="auto"/>
            </w:pPr>
            <w:r>
              <w:rPr>
                <w:sz w:val="18"/>
              </w:rPr>
              <w:t>/api/governance/datasets/{datasetId}/certifications</w:t>
            </w:r>
          </w:p>
        </w:tc>
        <w:tc>
          <w:tcPr>
            <w:tcW w:type="dxa" w:w="2808"/>
            <w:vAlign w:val="center"/>
            <w:tcMar>
              <w:top w:w="90" w:type="dxa"/>
              <w:start w:w="110" w:type="dxa"/>
              <w:bottom w:w="90" w:type="dxa"/>
              <w:end w:w="110" w:type="dxa"/>
            </w:tcMar>
            <w:shd w:fill="FFFFFF"/>
          </w:tcPr>
          <w:p>
            <w:pPr>
              <w:spacing w:after="0" w:before="0" w:line="240" w:lineRule="auto"/>
            </w:pPr>
            <w:r>
              <w:rPr>
                <w:sz w:val="18"/>
              </w:rPr>
              <w:t>View certification history</w:t>
            </w:r>
          </w:p>
        </w:tc>
      </w:tr>
      <w:tr>
        <w:trPr>
          <w:cantSplit/>
        </w:trPr>
        <w:tc>
          <w:tcPr>
            <w:tcW w:type="dxa" w:w="1008"/>
            <w:vAlign w:val="center"/>
            <w:tcMar>
              <w:top w:w="90" w:type="dxa"/>
              <w:start w:w="110" w:type="dxa"/>
              <w:bottom w:w="90" w:type="dxa"/>
              <w:end w:w="110" w:type="dxa"/>
            </w:tcMar>
            <w:shd w:fill="EAF2F8"/>
          </w:tcPr>
          <w:p>
            <w:pPr>
              <w:spacing w:after="0" w:before="0" w:line="240" w:lineRule="auto"/>
            </w:pPr>
            <w:r>
              <w:rPr>
                <w:sz w:val="18"/>
              </w:rPr>
              <w:t>POST</w:t>
            </w:r>
          </w:p>
        </w:tc>
        <w:tc>
          <w:tcPr>
            <w:tcW w:type="dxa" w:w="5544"/>
            <w:vAlign w:val="center"/>
            <w:tcMar>
              <w:top w:w="90" w:type="dxa"/>
              <w:start w:w="110" w:type="dxa"/>
              <w:bottom w:w="90" w:type="dxa"/>
              <w:end w:w="110" w:type="dxa"/>
            </w:tcMar>
            <w:shd w:fill="EAF2F8"/>
          </w:tcPr>
          <w:p>
            <w:pPr>
              <w:spacing w:after="0" w:before="0" w:line="240" w:lineRule="auto"/>
            </w:pPr>
            <w:r>
              <w:rPr>
                <w:sz w:val="18"/>
              </w:rPr>
              <w:t>/api/governance/datasets/{datasetId}/access-requests</w:t>
            </w:r>
          </w:p>
        </w:tc>
        <w:tc>
          <w:tcPr>
            <w:tcW w:type="dxa" w:w="2808"/>
            <w:vAlign w:val="center"/>
            <w:tcMar>
              <w:top w:w="90" w:type="dxa"/>
              <w:start w:w="110" w:type="dxa"/>
              <w:bottom w:w="90" w:type="dxa"/>
              <w:end w:w="110" w:type="dxa"/>
            </w:tcMar>
            <w:shd w:fill="EAF2F8"/>
          </w:tcPr>
          <w:p>
            <w:pPr>
              <w:spacing w:after="0" w:before="0" w:line="240" w:lineRule="auto"/>
            </w:pPr>
            <w:r>
              <w:rPr>
                <w:sz w:val="18"/>
              </w:rPr>
              <w:t>Request dataset access</w:t>
            </w:r>
          </w:p>
        </w:tc>
      </w:tr>
      <w:tr>
        <w:trPr>
          <w:cantSplit/>
        </w:trPr>
        <w:tc>
          <w:tcPr>
            <w:tcW w:type="dxa" w:w="1008"/>
            <w:vAlign w:val="center"/>
            <w:tcMar>
              <w:top w:w="90" w:type="dxa"/>
              <w:start w:w="110" w:type="dxa"/>
              <w:bottom w:w="90" w:type="dxa"/>
              <w:end w:w="110" w:type="dxa"/>
            </w:tcMar>
            <w:shd w:fill="FFFFFF"/>
          </w:tcPr>
          <w:p>
            <w:pPr>
              <w:spacing w:after="0" w:before="0" w:line="240" w:lineRule="auto"/>
            </w:pPr>
            <w:r>
              <w:rPr>
                <w:sz w:val="18"/>
              </w:rPr>
              <w:t>POST</w:t>
            </w:r>
          </w:p>
        </w:tc>
        <w:tc>
          <w:tcPr>
            <w:tcW w:type="dxa" w:w="5544"/>
            <w:vAlign w:val="center"/>
            <w:tcMar>
              <w:top w:w="90" w:type="dxa"/>
              <w:start w:w="110" w:type="dxa"/>
              <w:bottom w:w="90" w:type="dxa"/>
              <w:end w:w="110" w:type="dxa"/>
            </w:tcMar>
            <w:shd w:fill="FFFFFF"/>
          </w:tcPr>
          <w:p>
            <w:pPr>
              <w:spacing w:after="0" w:before="0" w:line="240" w:lineRule="auto"/>
            </w:pPr>
            <w:r>
              <w:rPr>
                <w:sz w:val="18"/>
              </w:rPr>
              <w:t>/api/governance/access-requests/{id}/review</w:t>
            </w:r>
          </w:p>
        </w:tc>
        <w:tc>
          <w:tcPr>
            <w:tcW w:type="dxa" w:w="2808"/>
            <w:vAlign w:val="center"/>
            <w:tcMar>
              <w:top w:w="90" w:type="dxa"/>
              <w:start w:w="110" w:type="dxa"/>
              <w:bottom w:w="90" w:type="dxa"/>
              <w:end w:w="110" w:type="dxa"/>
            </w:tcMar>
            <w:shd w:fill="FFFFFF"/>
          </w:tcPr>
          <w:p>
            <w:pPr>
              <w:spacing w:after="0" w:before="0" w:line="240" w:lineRule="auto"/>
            </w:pPr>
            <w:r>
              <w:rPr>
                <w:sz w:val="18"/>
              </w:rPr>
              <w:t>Approve or reject access</w:t>
            </w:r>
          </w:p>
        </w:tc>
      </w:tr>
      <w:tr>
        <w:trPr>
          <w:cantSplit/>
        </w:trPr>
        <w:tc>
          <w:tcPr>
            <w:tcW w:type="dxa" w:w="1008"/>
            <w:vAlign w:val="center"/>
            <w:tcMar>
              <w:top w:w="90" w:type="dxa"/>
              <w:start w:w="110" w:type="dxa"/>
              <w:bottom w:w="90" w:type="dxa"/>
              <w:end w:w="110" w:type="dxa"/>
            </w:tcMar>
            <w:shd w:fill="EAF2F8"/>
          </w:tcPr>
          <w:p>
            <w:pPr>
              <w:spacing w:after="0" w:before="0" w:line="240" w:lineRule="auto"/>
            </w:pPr>
            <w:r>
              <w:rPr>
                <w:sz w:val="18"/>
              </w:rPr>
              <w:t>POST</w:t>
            </w:r>
          </w:p>
        </w:tc>
        <w:tc>
          <w:tcPr>
            <w:tcW w:type="dxa" w:w="5544"/>
            <w:vAlign w:val="center"/>
            <w:tcMar>
              <w:top w:w="90" w:type="dxa"/>
              <w:start w:w="110" w:type="dxa"/>
              <w:bottom w:w="90" w:type="dxa"/>
              <w:end w:w="110" w:type="dxa"/>
            </w:tcMar>
            <w:shd w:fill="EAF2F8"/>
          </w:tcPr>
          <w:p>
            <w:pPr>
              <w:spacing w:after="0" w:before="0" w:line="240" w:lineRule="auto"/>
            </w:pPr>
            <w:r>
              <w:rPr>
                <w:sz w:val="18"/>
              </w:rPr>
              <w:t>/api/governance/access-requests/{id}/revoke</w:t>
            </w:r>
          </w:p>
        </w:tc>
        <w:tc>
          <w:tcPr>
            <w:tcW w:type="dxa" w:w="2808"/>
            <w:vAlign w:val="center"/>
            <w:tcMar>
              <w:top w:w="90" w:type="dxa"/>
              <w:start w:w="110" w:type="dxa"/>
              <w:bottom w:w="90" w:type="dxa"/>
              <w:end w:w="110" w:type="dxa"/>
            </w:tcMar>
            <w:shd w:fill="EAF2F8"/>
          </w:tcPr>
          <w:p>
            <w:pPr>
              <w:spacing w:after="0" w:before="0" w:line="240" w:lineRule="auto"/>
            </w:pPr>
            <w:r>
              <w:rPr>
                <w:sz w:val="18"/>
              </w:rPr>
              <w:t>Revoke the approved grant</w:t>
            </w:r>
          </w:p>
        </w:tc>
      </w:tr>
      <w:tr>
        <w:trPr>
          <w:cantSplit/>
        </w:trPr>
        <w:tc>
          <w:tcPr>
            <w:tcW w:type="dxa" w:w="1008"/>
            <w:vAlign w:val="center"/>
            <w:tcMar>
              <w:top w:w="90" w:type="dxa"/>
              <w:start w:w="110" w:type="dxa"/>
              <w:bottom w:w="90" w:type="dxa"/>
              <w:end w:w="110" w:type="dxa"/>
            </w:tcMar>
            <w:shd w:fill="FFFFFF"/>
          </w:tcPr>
          <w:p>
            <w:pPr>
              <w:spacing w:after="0" w:before="0" w:line="240" w:lineRule="auto"/>
            </w:pPr>
            <w:r>
              <w:rPr>
                <w:sz w:val="18"/>
              </w:rPr>
              <w:t>GET</w:t>
            </w:r>
          </w:p>
        </w:tc>
        <w:tc>
          <w:tcPr>
            <w:tcW w:type="dxa" w:w="5544"/>
            <w:vAlign w:val="center"/>
            <w:tcMar>
              <w:top w:w="90" w:type="dxa"/>
              <w:start w:w="110" w:type="dxa"/>
              <w:bottom w:w="90" w:type="dxa"/>
              <w:end w:w="110" w:type="dxa"/>
            </w:tcMar>
            <w:shd w:fill="FFFFFF"/>
          </w:tcPr>
          <w:p>
            <w:pPr>
              <w:spacing w:after="0" w:before="0" w:line="240" w:lineRule="auto"/>
            </w:pPr>
            <w:r>
              <w:rPr>
                <w:sz w:val="18"/>
              </w:rPr>
              <w:t>/api/governance/access-requests</w:t>
            </w:r>
          </w:p>
        </w:tc>
        <w:tc>
          <w:tcPr>
            <w:tcW w:type="dxa" w:w="2808"/>
            <w:vAlign w:val="center"/>
            <w:tcMar>
              <w:top w:w="90" w:type="dxa"/>
              <w:start w:w="110" w:type="dxa"/>
              <w:bottom w:w="90" w:type="dxa"/>
              <w:end w:w="110" w:type="dxa"/>
            </w:tcMar>
            <w:shd w:fill="FFFFFF"/>
          </w:tcPr>
          <w:p>
            <w:pPr>
              <w:spacing w:after="0" w:before="0" w:line="240" w:lineRule="auto"/>
            </w:pPr>
            <w:r>
              <w:rPr>
                <w:sz w:val="18"/>
              </w:rPr>
              <w:t>Search access-request history</w:t>
            </w:r>
          </w:p>
        </w:tc>
      </w:tr>
      <w:tr>
        <w:trPr>
          <w:cantSplit/>
        </w:trPr>
        <w:tc>
          <w:tcPr>
            <w:tcW w:type="dxa" w:w="1008"/>
            <w:vAlign w:val="center"/>
            <w:tcMar>
              <w:top w:w="90" w:type="dxa"/>
              <w:start w:w="110" w:type="dxa"/>
              <w:bottom w:w="90" w:type="dxa"/>
              <w:end w:w="110" w:type="dxa"/>
            </w:tcMar>
            <w:shd w:fill="EAF2F8"/>
          </w:tcPr>
          <w:p>
            <w:pPr>
              <w:spacing w:after="0" w:before="0" w:line="240" w:lineRule="auto"/>
            </w:pPr>
            <w:r>
              <w:rPr>
                <w:sz w:val="18"/>
              </w:rPr>
              <w:t>GET</w:t>
            </w:r>
          </w:p>
        </w:tc>
        <w:tc>
          <w:tcPr>
            <w:tcW w:type="dxa" w:w="5544"/>
            <w:vAlign w:val="center"/>
            <w:tcMar>
              <w:top w:w="90" w:type="dxa"/>
              <w:start w:w="110" w:type="dxa"/>
              <w:bottom w:w="90" w:type="dxa"/>
              <w:end w:w="110" w:type="dxa"/>
            </w:tcMar>
            <w:shd w:fill="EAF2F8"/>
          </w:tcPr>
          <w:p>
            <w:pPr>
              <w:spacing w:after="0" w:before="0" w:line="240" w:lineRule="auto"/>
            </w:pPr>
            <w:r>
              <w:rPr>
                <w:sz w:val="18"/>
              </w:rPr>
              <w:t>/api/governance/access-requests/{id}/history</w:t>
            </w:r>
          </w:p>
        </w:tc>
        <w:tc>
          <w:tcPr>
            <w:tcW w:type="dxa" w:w="2808"/>
            <w:vAlign w:val="center"/>
            <w:tcMar>
              <w:top w:w="90" w:type="dxa"/>
              <w:start w:w="110" w:type="dxa"/>
              <w:bottom w:w="90" w:type="dxa"/>
              <w:end w:w="110" w:type="dxa"/>
            </w:tcMar>
            <w:shd w:fill="EAF2F8"/>
          </w:tcPr>
          <w:p>
            <w:pPr>
              <w:spacing w:after="0" w:before="0" w:line="240" w:lineRule="auto"/>
            </w:pPr>
            <w:r>
              <w:rPr>
                <w:sz w:val="18"/>
              </w:rPr>
              <w:t>View request event history</w:t>
            </w:r>
          </w:p>
        </w:tc>
      </w:tr>
      <w:tr>
        <w:trPr>
          <w:cantSplit/>
        </w:trPr>
        <w:tc>
          <w:tcPr>
            <w:tcW w:type="dxa" w:w="1008"/>
            <w:vAlign w:val="center"/>
            <w:tcMar>
              <w:top w:w="90" w:type="dxa"/>
              <w:start w:w="110" w:type="dxa"/>
              <w:bottom w:w="90" w:type="dxa"/>
              <w:end w:w="110" w:type="dxa"/>
            </w:tcMar>
            <w:shd w:fill="FFFFFF"/>
          </w:tcPr>
          <w:p>
            <w:pPr>
              <w:spacing w:after="0" w:before="0" w:line="240" w:lineRule="auto"/>
            </w:pPr>
            <w:r>
              <w:rPr>
                <w:sz w:val="18"/>
              </w:rPr>
              <w:t>GET</w:t>
            </w:r>
          </w:p>
        </w:tc>
        <w:tc>
          <w:tcPr>
            <w:tcW w:type="dxa" w:w="5544"/>
            <w:vAlign w:val="center"/>
            <w:tcMar>
              <w:top w:w="90" w:type="dxa"/>
              <w:start w:w="110" w:type="dxa"/>
              <w:bottom w:w="90" w:type="dxa"/>
              <w:end w:w="110" w:type="dxa"/>
            </w:tcMar>
            <w:shd w:fill="FFFFFF"/>
          </w:tcPr>
          <w:p>
            <w:pPr>
              <w:spacing w:after="0" w:before="0" w:line="240" w:lineRule="auto"/>
            </w:pPr>
            <w:r>
              <w:rPr>
                <w:sz w:val="18"/>
              </w:rPr>
              <w:t>/api/governance/datasets</w:t>
            </w:r>
          </w:p>
        </w:tc>
        <w:tc>
          <w:tcPr>
            <w:tcW w:type="dxa" w:w="2808"/>
            <w:vAlign w:val="center"/>
            <w:tcMar>
              <w:top w:w="90" w:type="dxa"/>
              <w:start w:w="110" w:type="dxa"/>
              <w:bottom w:w="90" w:type="dxa"/>
              <w:end w:w="110" w:type="dxa"/>
            </w:tcMar>
            <w:shd w:fill="FFFFFF"/>
          </w:tcPr>
          <w:p>
            <w:pPr>
              <w:spacing w:after="0" w:before="0" w:line="240" w:lineRule="auto"/>
            </w:pPr>
            <w:r>
              <w:rPr>
                <w:sz w:val="18"/>
              </w:rPr>
              <w:t>Search and filter governance records</w:t>
            </w:r>
          </w:p>
        </w:tc>
      </w:tr>
      <w:tr>
        <w:trPr>
          <w:cantSplit/>
        </w:trPr>
        <w:tc>
          <w:tcPr>
            <w:tcW w:type="dxa" w:w="1008"/>
            <w:vAlign w:val="center"/>
            <w:tcMar>
              <w:top w:w="90" w:type="dxa"/>
              <w:start w:w="110" w:type="dxa"/>
              <w:bottom w:w="90" w:type="dxa"/>
              <w:end w:w="110" w:type="dxa"/>
            </w:tcMar>
            <w:shd w:fill="EAF2F8"/>
          </w:tcPr>
          <w:p>
            <w:pPr>
              <w:spacing w:after="0" w:before="0" w:line="240" w:lineRule="auto"/>
            </w:pPr>
            <w:r>
              <w:rPr>
                <w:sz w:val="18"/>
              </w:rPr>
              <w:t>GET</w:t>
            </w:r>
          </w:p>
        </w:tc>
        <w:tc>
          <w:tcPr>
            <w:tcW w:type="dxa" w:w="5544"/>
            <w:vAlign w:val="center"/>
            <w:tcMar>
              <w:top w:w="90" w:type="dxa"/>
              <w:start w:w="110" w:type="dxa"/>
              <w:bottom w:w="90" w:type="dxa"/>
              <w:end w:w="110" w:type="dxa"/>
            </w:tcMar>
            <w:shd w:fill="EAF2F8"/>
          </w:tcPr>
          <w:p>
            <w:pPr>
              <w:spacing w:after="0" w:before="0" w:line="240" w:lineRule="auto"/>
            </w:pPr>
            <w:r>
              <w:rPr>
                <w:sz w:val="18"/>
              </w:rPr>
              <w:t>/api/governance/dashboard</w:t>
            </w:r>
          </w:p>
        </w:tc>
        <w:tc>
          <w:tcPr>
            <w:tcW w:type="dxa" w:w="2808"/>
            <w:vAlign w:val="center"/>
            <w:tcMar>
              <w:top w:w="90" w:type="dxa"/>
              <w:start w:w="110" w:type="dxa"/>
              <w:bottom w:w="90" w:type="dxa"/>
              <w:end w:w="110" w:type="dxa"/>
            </w:tcMar>
            <w:shd w:fill="EAF2F8"/>
          </w:tcPr>
          <w:p>
            <w:pPr>
              <w:spacing w:after="0" w:before="0" w:line="240" w:lineRule="auto"/>
            </w:pPr>
            <w:r>
              <w:rPr>
                <w:sz w:val="18"/>
              </w:rPr>
              <w:t>Get governance dashboard metrics</w:t>
            </w:r>
          </w:p>
        </w:tc>
      </w:tr>
    </w:tbl>
    <w:p>
      <w:pPr>
        <w:pStyle w:val="Heading2"/>
        <w:keepNext/>
      </w:pPr>
      <w:r>
        <w:t>Dashboard and audit coverage</w:t>
      </w:r>
    </w:p>
    <w:p>
      <w:pPr/>
      <w:r>
        <w:t>The dashboard response provides total datasets, certified datasets, datasets pending review, expired certifications, datasets grouped by classification, pending access requests and recent approval/rejection decisions. Search endpoints support classification, governance status, owner, steward, overdue review, dataset, requester and request-status filters with paging.</w:t>
      </w:r>
    </w:p>
    <w:p>
      <w:pPr/>
      <w:r>
        <w:t>The existing audit service records classification, owner and steward changes; certification submission and review; access requests; approval and rejection; and access revocation. Audit entries retain actor, workspace, entity identifiers, outcome and UTC timestamps without duplicating protected dataset content.</w:t>
      </w:r>
    </w:p>
    <w:p>
      <w:pPr>
        <w:pStyle w:val="Heading1"/>
        <w:keepNext/>
      </w:pPr>
      <w:r>
        <w:t>Database objects and migrations</w:t>
      </w:r>
    </w:p>
    <w:p>
      <w:pPr>
        <w:pStyle w:val="Heading2"/>
        <w:keepNext/>
      </w:pPr>
      <w:r>
        <w:t>Ingestion persistence</w:t>
      </w:r>
    </w:p>
    <w:p>
      <w:pPr/>
      <w:r>
        <w:t>The ingestion migration creates the following schema, with a follow-up synchronization migration updating the EF Core model snapshot. File bytes remain outside SQL Server. Import, staging, record and error entities carry WorkspaceId and reuse the existing workspace query-filter pattern.</w:t>
      </w:r>
    </w:p>
    <w:tbl>
      <w:tblPr>
        <w:tblW w:type="dxa" w:w="9360"/>
        <w:jc w:val="left"/>
        <w:tblLayout w:type="fixed"/>
        <w:tblLook w:firstColumn="1" w:firstRow="1" w:lastColumn="0" w:lastRow="0" w:noHBand="0" w:noVBand="1" w:val="04A0"/>
        <w:tblInd w:type="dxa" w:w="120"/>
        <w:tblBorders>
          <w:top w:val="single" w:sz="4" w:color="CDD7E2"/>
          <w:left w:val="single" w:sz="4" w:color="CDD7E2"/>
          <w:bottom w:val="single" w:sz="4" w:color="CDD7E2"/>
          <w:right w:val="single" w:sz="4" w:color="CDD7E2"/>
          <w:insideH w:val="single" w:sz="4" w:color="CDD7E2"/>
          <w:insideV w:val="single" w:sz="4" w:color="CDD7E2"/>
        </w:tblBorders>
      </w:tblPr>
      <w:tblGrid>
        <w:gridCol w:w="2500"/>
        <w:gridCol w:w="3760"/>
        <w:gridCol w:w="3100"/>
      </w:tblGrid>
      <w:tr>
        <w:trPr>
          <w:cantSplit/>
          <w:tblHeader/>
        </w:trPr>
        <w:tc>
          <w:tcPr>
            <w:tcW w:type="dxa" w:w="2500"/>
            <w:vAlign w:val="center"/>
            <w:shd w:fill="E8EEF5"/>
            <w:tcMar>
              <w:top w:w="80" w:type="dxa"/>
              <w:bottom w:w="80" w:type="dxa"/>
              <w:start w:w="120" w:type="dxa"/>
              <w:end w:w="120" w:type="dxa"/>
            </w:tcMar>
          </w:tcPr>
          <w:p>
            <w:pPr>
              <w:pStyle w:val="TechnicalTable"/>
            </w:pPr>
            <w:r>
              <w:rPr>
                <w:b/>
              </w:rPr>
              <w:t>Object</w:t>
            </w:r>
          </w:p>
        </w:tc>
        <w:tc>
          <w:tcPr>
            <w:tcW w:type="dxa" w:w="3760"/>
            <w:vAlign w:val="center"/>
            <w:shd w:fill="E8EEF5"/>
            <w:tcMar>
              <w:top w:w="80" w:type="dxa"/>
              <w:bottom w:w="80" w:type="dxa"/>
              <w:start w:w="120" w:type="dxa"/>
              <w:end w:w="120" w:type="dxa"/>
            </w:tcMar>
          </w:tcPr>
          <w:p>
            <w:pPr>
              <w:pStyle w:val="TechnicalTable"/>
            </w:pPr>
            <w:r>
              <w:rPr>
                <w:b/>
              </w:rPr>
              <w:t>Purpose</w:t>
            </w:r>
          </w:p>
        </w:tc>
        <w:tc>
          <w:tcPr>
            <w:tcW w:type="dxa" w:w="3100"/>
            <w:vAlign w:val="center"/>
            <w:shd w:fill="E8EEF5"/>
            <w:tcMar>
              <w:top w:w="80" w:type="dxa"/>
              <w:bottom w:w="80" w:type="dxa"/>
              <w:start w:w="120" w:type="dxa"/>
              <w:end w:w="120" w:type="dxa"/>
            </w:tcMar>
          </w:tcPr>
          <w:p>
            <w:pPr>
              <w:pStyle w:val="TechnicalTable"/>
            </w:pPr>
            <w:r>
              <w:rPr>
                <w:b/>
              </w:rPr>
              <w:t>Key relationship / index</w:t>
            </w:r>
          </w:p>
        </w:tc>
      </w:tr>
      <w:tr>
        <w:trPr>
          <w:cantSplit/>
        </w:trPr>
        <w:tc>
          <w:tcPr>
            <w:tcW w:type="dxa" w:w="2500"/>
            <w:vAlign w:val="center"/>
            <w:tcMar>
              <w:top w:w="80" w:type="dxa"/>
              <w:bottom w:w="80" w:type="dxa"/>
              <w:start w:w="120" w:type="dxa"/>
              <w:end w:w="120" w:type="dxa"/>
            </w:tcMar>
          </w:tcPr>
          <w:p>
            <w:pPr>
              <w:pStyle w:val="TechnicalTable"/>
            </w:pPr>
            <w:r>
              <w:t>UploadedDataFiles</w:t>
            </w:r>
          </w:p>
        </w:tc>
        <w:tc>
          <w:tcPr>
            <w:tcW w:type="dxa" w:w="3760"/>
            <w:vAlign w:val="center"/>
            <w:tcMar>
              <w:top w:w="80" w:type="dxa"/>
              <w:bottom w:w="80" w:type="dxa"/>
              <w:start w:w="120" w:type="dxa"/>
              <w:end w:w="120" w:type="dxa"/>
            </w:tcMar>
          </w:tcPr>
          <w:p>
            <w:pPr>
              <w:pStyle w:val="TechnicalTable"/>
            </w:pPr>
            <w:r>
              <w:t>File metadata and storage path; file bytes stay outside SQL Server.</w:t>
            </w:r>
          </w:p>
        </w:tc>
        <w:tc>
          <w:tcPr>
            <w:tcW w:type="dxa" w:w="3100"/>
            <w:vAlign w:val="center"/>
            <w:tcMar>
              <w:top w:w="80" w:type="dxa"/>
              <w:bottom w:w="80" w:type="dxa"/>
              <w:start w:w="120" w:type="dxa"/>
              <w:end w:w="120" w:type="dxa"/>
            </w:tcMar>
          </w:tcPr>
          <w:p>
            <w:pPr>
              <w:pStyle w:val="TechnicalTable"/>
            </w:pPr>
            <w:r>
              <w:t>Dataset + workspace index; Dataset FK.</w:t>
            </w:r>
          </w:p>
        </w:tc>
      </w:tr>
      <w:tr>
        <w:trPr>
          <w:cantSplit/>
        </w:trPr>
        <w:tc>
          <w:tcPr>
            <w:tcW w:type="dxa" w:w="2500"/>
            <w:vAlign w:val="center"/>
            <w:tcMar>
              <w:top w:w="80" w:type="dxa"/>
              <w:bottom w:w="80" w:type="dxa"/>
              <w:start w:w="120" w:type="dxa"/>
              <w:end w:w="120" w:type="dxa"/>
            </w:tcMar>
          </w:tcPr>
          <w:p>
            <w:pPr>
              <w:pStyle w:val="TechnicalTable"/>
            </w:pPr>
            <w:r>
              <w:t>DatasetColumns</w:t>
            </w:r>
          </w:p>
        </w:tc>
        <w:tc>
          <w:tcPr>
            <w:tcW w:type="dxa" w:w="3760"/>
            <w:vAlign w:val="center"/>
            <w:tcMar>
              <w:top w:w="80" w:type="dxa"/>
              <w:bottom w:w="80" w:type="dxa"/>
              <w:start w:w="120" w:type="dxa"/>
              <w:end w:w="120" w:type="dxa"/>
            </w:tcMar>
          </w:tcPr>
          <w:p>
            <w:pPr>
              <w:pStyle w:val="TechnicalTable"/>
            </w:pPr>
            <w:r>
              <w:t>Inferred schema, order, type, required and key flags.</w:t>
            </w:r>
          </w:p>
        </w:tc>
        <w:tc>
          <w:tcPr>
            <w:tcW w:type="dxa" w:w="3100"/>
            <w:vAlign w:val="center"/>
            <w:tcMar>
              <w:top w:w="80" w:type="dxa"/>
              <w:bottom w:w="80" w:type="dxa"/>
              <w:start w:w="120" w:type="dxa"/>
              <w:end w:w="120" w:type="dxa"/>
            </w:tcMar>
          </w:tcPr>
          <w:p>
            <w:pPr>
              <w:pStyle w:val="TechnicalTable"/>
            </w:pPr>
            <w:r>
              <w:t>Unique DatasetId + NormalizedName; cascade with Dataset.</w:t>
            </w:r>
          </w:p>
        </w:tc>
      </w:tr>
      <w:tr>
        <w:trPr>
          <w:cantSplit/>
        </w:trPr>
        <w:tc>
          <w:tcPr>
            <w:tcW w:type="dxa" w:w="2500"/>
            <w:vAlign w:val="center"/>
            <w:tcMar>
              <w:top w:w="80" w:type="dxa"/>
              <w:bottom w:w="80" w:type="dxa"/>
              <w:start w:w="120" w:type="dxa"/>
              <w:end w:w="120" w:type="dxa"/>
            </w:tcMar>
          </w:tcPr>
          <w:p>
            <w:pPr>
              <w:pStyle w:val="TechnicalTable"/>
            </w:pPr>
            <w:r>
              <w:t>DataImports</w:t>
            </w:r>
          </w:p>
        </w:tc>
        <w:tc>
          <w:tcPr>
            <w:tcW w:type="dxa" w:w="3760"/>
            <w:vAlign w:val="center"/>
            <w:tcMar>
              <w:top w:w="80" w:type="dxa"/>
              <w:bottom w:w="80" w:type="dxa"/>
              <w:start w:w="120" w:type="dxa"/>
              <w:end w:w="120" w:type="dxa"/>
            </w:tcMar>
          </w:tcPr>
          <w:p>
            <w:pPr>
              <w:pStyle w:val="TechnicalTable"/>
            </w:pPr>
            <w:r>
              <w:t>Configuration, lifecycle, counts, timings, failure/cancellation data.</w:t>
            </w:r>
          </w:p>
        </w:tc>
        <w:tc>
          <w:tcPr>
            <w:tcW w:type="dxa" w:w="3100"/>
            <w:vAlign w:val="center"/>
            <w:tcMar>
              <w:top w:w="80" w:type="dxa"/>
              <w:bottom w:w="80" w:type="dxa"/>
              <w:start w:w="120" w:type="dxa"/>
              <w:end w:w="120" w:type="dxa"/>
            </w:tcMar>
          </w:tcPr>
          <w:p>
            <w:pPr>
              <w:pStyle w:val="TechnicalTable"/>
            </w:pPr>
            <w:r>
              <w:t>Dataset/File FKs; history and active-status indexes.</w:t>
            </w:r>
          </w:p>
        </w:tc>
      </w:tr>
      <w:tr>
        <w:trPr>
          <w:cantSplit/>
        </w:trPr>
        <w:tc>
          <w:tcPr>
            <w:tcW w:type="dxa" w:w="2500"/>
            <w:vAlign w:val="center"/>
            <w:tcMar>
              <w:top w:w="80" w:type="dxa"/>
              <w:bottom w:w="80" w:type="dxa"/>
              <w:start w:w="120" w:type="dxa"/>
              <w:end w:w="120" w:type="dxa"/>
            </w:tcMar>
          </w:tcPr>
          <w:p>
            <w:pPr>
              <w:pStyle w:val="TechnicalTable"/>
            </w:pPr>
            <w:r>
              <w:t>ImportStagingRows</w:t>
            </w:r>
          </w:p>
        </w:tc>
        <w:tc>
          <w:tcPr>
            <w:tcW w:type="dxa" w:w="3760"/>
            <w:vAlign w:val="center"/>
            <w:tcMar>
              <w:top w:w="80" w:type="dxa"/>
              <w:bottom w:w="80" w:type="dxa"/>
              <w:start w:w="120" w:type="dxa"/>
              <w:end w:w="120" w:type="dxa"/>
            </w:tcMar>
          </w:tcPr>
          <w:p>
            <w:pPr>
              <w:pStyle w:val="TechnicalTable"/>
            </w:pPr>
            <w:r>
              <w:t>Source row number, key hash, validity and rejection flags.</w:t>
            </w:r>
          </w:p>
        </w:tc>
        <w:tc>
          <w:tcPr>
            <w:tcW w:type="dxa" w:w="3100"/>
            <w:vAlign w:val="center"/>
            <w:tcMar>
              <w:top w:w="80" w:type="dxa"/>
              <w:bottom w:w="80" w:type="dxa"/>
              <w:start w:w="120" w:type="dxa"/>
              <w:end w:w="120" w:type="dxa"/>
            </w:tcMar>
          </w:tcPr>
          <w:p>
            <w:pPr>
              <w:pStyle w:val="TechnicalTable"/>
            </w:pPr>
            <w:r>
              <w:t>Import + RowNumber index; cascade with DataImport.</w:t>
            </w:r>
          </w:p>
        </w:tc>
      </w:tr>
      <w:tr>
        <w:trPr>
          <w:cantSplit/>
        </w:trPr>
        <w:tc>
          <w:tcPr>
            <w:tcW w:type="dxa" w:w="2500"/>
            <w:vAlign w:val="center"/>
            <w:tcMar>
              <w:top w:w="80" w:type="dxa"/>
              <w:bottom w:w="80" w:type="dxa"/>
              <w:start w:w="120" w:type="dxa"/>
              <w:end w:w="120" w:type="dxa"/>
            </w:tcMar>
          </w:tcPr>
          <w:p>
            <w:pPr>
              <w:pStyle w:val="TechnicalTable"/>
            </w:pPr>
            <w:r>
              <w:t>ImportStagingValues</w:t>
            </w:r>
          </w:p>
        </w:tc>
        <w:tc>
          <w:tcPr>
            <w:tcW w:type="dxa" w:w="3760"/>
            <w:vAlign w:val="center"/>
            <w:tcMar>
              <w:top w:w="80" w:type="dxa"/>
              <w:bottom w:w="80" w:type="dxa"/>
              <w:start w:w="120" w:type="dxa"/>
              <w:end w:w="120" w:type="dxa"/>
            </w:tcMar>
          </w:tcPr>
          <w:p>
            <w:pPr>
              <w:pStyle w:val="TechnicalTable"/>
            </w:pPr>
            <w:r>
              <w:t>Raw column/value pairs for each staging row.</w:t>
            </w:r>
          </w:p>
        </w:tc>
        <w:tc>
          <w:tcPr>
            <w:tcW w:type="dxa" w:w="3100"/>
            <w:vAlign w:val="center"/>
            <w:tcMar>
              <w:top w:w="80" w:type="dxa"/>
              <w:bottom w:w="80" w:type="dxa"/>
              <w:start w:w="120" w:type="dxa"/>
              <w:end w:w="120" w:type="dxa"/>
            </w:tcMar>
          </w:tcPr>
          <w:p>
            <w:pPr>
              <w:pStyle w:val="TechnicalTable"/>
            </w:pPr>
            <w:r>
              <w:t>StagingRow index; cascade with staging row.</w:t>
            </w:r>
          </w:p>
        </w:tc>
      </w:tr>
      <w:tr>
        <w:trPr>
          <w:cantSplit/>
        </w:trPr>
        <w:tc>
          <w:tcPr>
            <w:tcW w:type="dxa" w:w="2500"/>
            <w:vAlign w:val="center"/>
            <w:tcMar>
              <w:top w:w="80" w:type="dxa"/>
              <w:bottom w:w="80" w:type="dxa"/>
              <w:start w:w="120" w:type="dxa"/>
              <w:end w:w="120" w:type="dxa"/>
            </w:tcMar>
          </w:tcPr>
          <w:p>
            <w:pPr>
              <w:pStyle w:val="TechnicalTable"/>
            </w:pPr>
            <w:r>
              <w:t>DatasetRecords</w:t>
            </w:r>
          </w:p>
        </w:tc>
        <w:tc>
          <w:tcPr>
            <w:tcW w:type="dxa" w:w="3760"/>
            <w:vAlign w:val="center"/>
            <w:tcMar>
              <w:top w:w="80" w:type="dxa"/>
              <w:bottom w:w="80" w:type="dxa"/>
              <w:start w:w="120" w:type="dxa"/>
              <w:end w:w="120" w:type="dxa"/>
            </w:tcMar>
          </w:tcPr>
          <w:p>
            <w:pPr>
              <w:pStyle w:val="TechnicalTable"/>
            </w:pPr>
            <w:r>
              <w:t>Dataset-level logical records with source import and key hash.</w:t>
            </w:r>
          </w:p>
        </w:tc>
        <w:tc>
          <w:tcPr>
            <w:tcW w:type="dxa" w:w="3100"/>
            <w:vAlign w:val="center"/>
            <w:tcMar>
              <w:top w:w="80" w:type="dxa"/>
              <w:bottom w:w="80" w:type="dxa"/>
              <w:start w:w="120" w:type="dxa"/>
              <w:end w:w="120" w:type="dxa"/>
            </w:tcMar>
          </w:tcPr>
          <w:p>
            <w:pPr>
              <w:pStyle w:val="TechnicalTable"/>
            </w:pPr>
            <w:r>
              <w:t>Dataset + KeyHash index; cascade with Dataset.</w:t>
            </w:r>
          </w:p>
        </w:tc>
      </w:tr>
      <w:tr>
        <w:trPr>
          <w:cantSplit/>
        </w:trPr>
        <w:tc>
          <w:tcPr>
            <w:tcW w:type="dxa" w:w="2500"/>
            <w:vAlign w:val="center"/>
            <w:tcMar>
              <w:top w:w="80" w:type="dxa"/>
              <w:bottom w:w="80" w:type="dxa"/>
              <w:start w:w="120" w:type="dxa"/>
              <w:end w:w="120" w:type="dxa"/>
            </w:tcMar>
          </w:tcPr>
          <w:p>
            <w:pPr>
              <w:pStyle w:val="TechnicalTable"/>
            </w:pPr>
            <w:r>
              <w:t>DatasetRecordValues</w:t>
            </w:r>
          </w:p>
        </w:tc>
        <w:tc>
          <w:tcPr>
            <w:tcW w:type="dxa" w:w="3760"/>
            <w:vAlign w:val="center"/>
            <w:tcMar>
              <w:top w:w="80" w:type="dxa"/>
              <w:bottom w:w="80" w:type="dxa"/>
              <w:start w:w="120" w:type="dxa"/>
              <w:end w:w="120" w:type="dxa"/>
            </w:tcMar>
          </w:tcPr>
          <w:p>
            <w:pPr>
              <w:pStyle w:val="TechnicalTable"/>
            </w:pPr>
            <w:r>
              <w:t>Raw and typed String/Integer/Decimal/Boolean/DateTime values.</w:t>
            </w:r>
          </w:p>
        </w:tc>
        <w:tc>
          <w:tcPr>
            <w:tcW w:type="dxa" w:w="3100"/>
            <w:vAlign w:val="center"/>
            <w:tcMar>
              <w:top w:w="80" w:type="dxa"/>
              <w:bottom w:w="80" w:type="dxa"/>
              <w:start w:w="120" w:type="dxa"/>
              <w:end w:w="120" w:type="dxa"/>
            </w:tcMar>
          </w:tcPr>
          <w:p>
            <w:pPr>
              <w:pStyle w:val="TechnicalTable"/>
            </w:pPr>
            <w:r>
              <w:t>Unique Record + Column pair; record and column FKs.</w:t>
            </w:r>
          </w:p>
        </w:tc>
      </w:tr>
      <w:tr>
        <w:trPr>
          <w:cantSplit/>
        </w:trPr>
        <w:tc>
          <w:tcPr>
            <w:tcW w:type="dxa" w:w="2500"/>
            <w:vAlign w:val="center"/>
            <w:tcMar>
              <w:top w:w="80" w:type="dxa"/>
              <w:bottom w:w="80" w:type="dxa"/>
              <w:start w:w="120" w:type="dxa"/>
              <w:end w:w="120" w:type="dxa"/>
            </w:tcMar>
          </w:tcPr>
          <w:p>
            <w:pPr>
              <w:pStyle w:val="TechnicalTable"/>
            </w:pPr>
            <w:r>
              <w:t>ImportErrors</w:t>
            </w:r>
          </w:p>
        </w:tc>
        <w:tc>
          <w:tcPr>
            <w:tcW w:type="dxa" w:w="3760"/>
            <w:vAlign w:val="center"/>
            <w:tcMar>
              <w:top w:w="80" w:type="dxa"/>
              <w:bottom w:w="80" w:type="dxa"/>
              <w:start w:w="120" w:type="dxa"/>
              <w:end w:w="120" w:type="dxa"/>
            </w:tcMar>
          </w:tcPr>
          <w:p>
            <w:pPr>
              <w:pStyle w:val="TechnicalTable"/>
            </w:pPr>
            <w:r>
              <w:t>Row, column, invalid value, description and timestamp.</w:t>
            </w:r>
          </w:p>
        </w:tc>
        <w:tc>
          <w:tcPr>
            <w:tcW w:type="dxa" w:w="3100"/>
            <w:vAlign w:val="center"/>
            <w:tcMar>
              <w:top w:w="80" w:type="dxa"/>
              <w:bottom w:w="80" w:type="dxa"/>
              <w:start w:w="120" w:type="dxa"/>
              <w:end w:w="120" w:type="dxa"/>
            </w:tcMar>
          </w:tcPr>
          <w:p>
            <w:pPr>
              <w:pStyle w:val="TechnicalTable"/>
            </w:pPr>
            <w:r>
              <w:t>Import + ErrorTimestamp index; cascade with DataImport.</w:t>
            </w:r>
          </w:p>
        </w:tc>
      </w:tr>
    </w:tbl>
    <w:p>
      <w:pPr>
        <w:pStyle w:val="SourceNote"/>
        <w:spacing w:before="0" w:after="60" w:line="60" w:lineRule="exact"/>
      </w:pPr>
    </w:p>
    <w:p>
      <w:pPr>
        <w:pStyle w:val="Heading2"/>
        <w:keepNext/>
      </w:pPr>
      <w:r>
        <w:t>Quality persistence</w:t>
      </w:r>
    </w:p>
    <w:p>
      <w:pPr/>
      <w:r>
        <w:t>The data-quality profiling migration adds the following four tables, their indexes/foreign keys, quality permissions and role mappings. Profiling orchestration/calculations remain application services; no profiling stored procedure is required.</w:t>
      </w:r>
    </w:p>
    <w:tbl>
      <w:tblPr>
        <w:tblW w:type="dxa" w:w="9360"/>
        <w:jc w:val="left"/>
        <w:tblLayout w:type="fixed"/>
        <w:tblLook w:firstColumn="1" w:firstRow="1" w:lastColumn="0" w:lastRow="0" w:noHBand="0" w:noVBand="1" w:val="04A0"/>
        <w:tblInd w:type="dxa" w:w="120"/>
        <w:tblBorders>
          <w:top w:val="single" w:sz="4" w:color="CDD7E2"/>
          <w:left w:val="single" w:sz="4" w:color="CDD7E2"/>
          <w:bottom w:val="single" w:sz="4" w:color="CDD7E2"/>
          <w:right w:val="single" w:sz="4" w:color="CDD7E2"/>
          <w:insideH w:val="single" w:sz="4" w:color="CDD7E2"/>
          <w:insideV w:val="single" w:sz="4" w:color="CDD7E2"/>
        </w:tblBorders>
      </w:tblPr>
      <w:tblGrid>
        <w:gridCol w:w="3600"/>
        <w:gridCol w:w="5760"/>
      </w:tblGrid>
      <w:tr>
        <w:trPr>
          <w:cantSplit/>
          <w:tblHeader/>
        </w:trPr>
        <w:tc>
          <w:tcPr>
            <w:tcW w:type="dxa" w:w="3600"/>
            <w:vAlign w:val="center"/>
            <w:shd w:fill="E8EEF5"/>
            <w:tcMar>
              <w:top w:w="80" w:type="dxa"/>
              <w:bottom w:w="80" w:type="dxa"/>
              <w:start w:w="120" w:type="dxa"/>
              <w:end w:w="120" w:type="dxa"/>
            </w:tcMar>
          </w:tcPr>
          <w:p>
            <w:pPr>
              <w:pStyle w:val="TechnicalTable"/>
            </w:pPr>
            <w:r>
              <w:rPr>
                <w:b/>
              </w:rPr>
              <w:t>Table</w:t>
            </w:r>
          </w:p>
        </w:tc>
        <w:tc>
          <w:tcPr>
            <w:tcW w:type="dxa" w:w="5760"/>
            <w:vAlign w:val="center"/>
            <w:shd w:fill="E8EEF5"/>
            <w:tcMar>
              <w:top w:w="80" w:type="dxa"/>
              <w:bottom w:w="80" w:type="dxa"/>
              <w:start w:w="120" w:type="dxa"/>
              <w:end w:w="120" w:type="dxa"/>
            </w:tcMar>
          </w:tcPr>
          <w:p>
            <w:pPr>
              <w:pStyle w:val="TechnicalTable"/>
            </w:pPr>
            <w:r>
              <w:rPr>
                <w:b/>
              </w:rPr>
              <w:t>Stored information</w:t>
            </w:r>
          </w:p>
        </w:tc>
      </w:tr>
      <w:tr>
        <w:trPr>
          <w:cantSplit/>
        </w:trPr>
        <w:tc>
          <w:tcPr>
            <w:tcW w:type="dxa" w:w="3600"/>
            <w:vAlign w:val="center"/>
            <w:tcMar>
              <w:top w:w="80" w:type="dxa"/>
              <w:bottom w:w="80" w:type="dxa"/>
              <w:start w:w="120" w:type="dxa"/>
              <w:end w:w="120" w:type="dxa"/>
            </w:tcMar>
          </w:tcPr>
          <w:p>
            <w:pPr>
              <w:pStyle w:val="TechnicalTable"/>
            </w:pPr>
            <w:r>
              <w:t>DataQualityProfileRuns</w:t>
            </w:r>
          </w:p>
        </w:tc>
        <w:tc>
          <w:tcPr>
            <w:tcW w:type="dxa" w:w="5760"/>
            <w:vAlign w:val="center"/>
            <w:tcMar>
              <w:top w:w="80" w:type="dxa"/>
              <w:bottom w:w="80" w:type="dxa"/>
              <w:start w:w="120" w:type="dxa"/>
              <w:end w:w="120" w:type="dxa"/>
            </w:tcMar>
          </w:tcPr>
          <w:p>
            <w:pPr>
              <w:pStyle w:val="TechnicalTable"/>
            </w:pPr>
            <w:r>
              <w:t>Immutable profile lifecycle, trigger/import linkage, scoring version, scores, applied thresholds and UTC times.</w:t>
            </w:r>
          </w:p>
        </w:tc>
      </w:tr>
      <w:tr>
        <w:trPr>
          <w:cantSplit/>
        </w:trPr>
        <w:tc>
          <w:tcPr>
            <w:tcW w:type="dxa" w:w="3600"/>
            <w:vAlign w:val="center"/>
            <w:tcMar>
              <w:top w:w="80" w:type="dxa"/>
              <w:bottom w:w="80" w:type="dxa"/>
              <w:start w:w="120" w:type="dxa"/>
              <w:end w:w="120" w:type="dxa"/>
            </w:tcMar>
          </w:tcPr>
          <w:p>
            <w:pPr>
              <w:pStyle w:val="TechnicalTable"/>
            </w:pPr>
            <w:r>
              <w:t>DataQualityColumnMetrics</w:t>
            </w:r>
          </w:p>
        </w:tc>
        <w:tc>
          <w:tcPr>
            <w:tcW w:type="dxa" w:w="5760"/>
            <w:vAlign w:val="center"/>
            <w:tcMar>
              <w:top w:w="80" w:type="dxa"/>
              <w:bottom w:w="80" w:type="dxa"/>
              <w:start w:w="120" w:type="dxa"/>
              <w:end w:w="120" w:type="dxa"/>
            </w:tcMar>
          </w:tcPr>
          <w:p>
            <w:pPr>
              <w:pStyle w:val="TechnicalTable"/>
            </w:pPr>
            <w:r>
              <w:t>Per-column null, distinct, unique, duplicate, invalid and applicable numeric statistics.</w:t>
            </w:r>
          </w:p>
        </w:tc>
      </w:tr>
      <w:tr>
        <w:trPr>
          <w:cantSplit/>
        </w:trPr>
        <w:tc>
          <w:tcPr>
            <w:tcW w:type="dxa" w:w="3600"/>
            <w:vAlign w:val="center"/>
            <w:tcMar>
              <w:top w:w="80" w:type="dxa"/>
              <w:bottom w:w="80" w:type="dxa"/>
              <w:start w:w="120" w:type="dxa"/>
              <w:end w:w="120" w:type="dxa"/>
            </w:tcMar>
          </w:tcPr>
          <w:p>
            <w:pPr>
              <w:pStyle w:val="TechnicalTable"/>
            </w:pPr>
            <w:r>
              <w:t>DataQualityIssues</w:t>
            </w:r>
          </w:p>
        </w:tc>
        <w:tc>
          <w:tcPr>
            <w:tcW w:type="dxa" w:w="5760"/>
            <w:vAlign w:val="center"/>
            <w:tcMar>
              <w:top w:w="80" w:type="dxa"/>
              <w:bottom w:w="80" w:type="dxa"/>
              <w:start w:w="120" w:type="dxa"/>
              <w:end w:w="120" w:type="dxa"/>
            </w:tcMar>
          </w:tcPr>
          <w:p>
            <w:pPr>
              <w:pStyle w:val="TechnicalTable"/>
            </w:pPr>
            <w:r>
              <w:t>Record/column quality findings, rule, message, invalid value and timestamp.</w:t>
            </w:r>
          </w:p>
        </w:tc>
      </w:tr>
      <w:tr>
        <w:trPr>
          <w:cantSplit/>
        </w:trPr>
        <w:tc>
          <w:tcPr>
            <w:tcW w:type="dxa" w:w="3600"/>
            <w:vAlign w:val="center"/>
            <w:tcMar>
              <w:top w:w="80" w:type="dxa"/>
              <w:bottom w:w="80" w:type="dxa"/>
              <w:start w:w="120" w:type="dxa"/>
              <w:end w:w="120" w:type="dxa"/>
            </w:tcMar>
          </w:tcPr>
          <w:p>
            <w:pPr>
              <w:pStyle w:val="TechnicalTable"/>
            </w:pPr>
            <w:r>
              <w:t>DataQualityThresholds</w:t>
            </w:r>
          </w:p>
        </w:tc>
        <w:tc>
          <w:tcPr>
            <w:tcW w:type="dxa" w:w="5760"/>
            <w:vAlign w:val="center"/>
            <w:tcMar>
              <w:top w:w="80" w:type="dxa"/>
              <w:bottom w:w="80" w:type="dxa"/>
              <w:start w:w="120" w:type="dxa"/>
              <w:end w:w="120" w:type="dxa"/>
            </w:tcMar>
          </w:tcPr>
          <w:p>
            <w:pPr>
              <w:pStyle w:val="TechnicalTable"/>
            </w:pPr>
            <w:r>
              <w:t>Dataset-specific thresholds that override fallback defaults.</w:t>
            </w:r>
          </w:p>
        </w:tc>
      </w:tr>
    </w:tbl>
    <w:p>
      <w:pPr>
        <w:pStyle w:val="SourceNote"/>
        <w:spacing w:before="0" w:after="60" w:line="60" w:lineRule="exact"/>
      </w:pPr>
    </w:p>
    <w:p>
      <w:pPr>
        <w:pStyle w:val="Heading2"/>
        <w:keepNext/>
      </w:pPr>
      <w:r>
        <w:t>Governance persistence</w:t>
      </w:r>
    </w:p>
    <w:p>
      <w:pPr/>
      <w:r>
        <w:t>Migration 20260915090000_Task22DataGovernanceAccessPolicy creates five normalized tables and backfills existing datasets with Internal classification and Draft governance status. SQL/20260915_DataGovernanceAccessPolicy.sql is the idempotent deployment script; the consolidated SQL script contains the same upgrade. No separate Data Owner table is created.</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rPr>
          <w:tblHeader w:val="true"/>
          <w:cantSplit/>
        </w:trPr>
        <w:tc>
          <w:tcPr>
            <w:tcW w:type="dxa" w:w="2088"/>
            <w:vAlign w:val="center"/>
            <w:tcMar>
              <w:top w:w="90" w:type="dxa"/>
              <w:start w:w="110" w:type="dxa"/>
              <w:bottom w:w="90" w:type="dxa"/>
              <w:end w:w="110" w:type="dxa"/>
            </w:tcMar>
            <w:shd w:fill="1F4E78"/>
          </w:tcPr>
          <w:p>
            <w:pPr>
              <w:spacing w:after="0" w:before="0" w:line="240" w:lineRule="auto"/>
            </w:pPr>
            <w:r>
              <w:rPr>
                <w:b/>
                <w:color w:val="FFFFFF"/>
                <w:sz w:val="18"/>
              </w:rPr>
              <w:t>Table</w:t>
            </w:r>
          </w:p>
        </w:tc>
        <w:tc>
          <w:tcPr>
            <w:tcW w:type="dxa" w:w="4752"/>
            <w:vAlign w:val="center"/>
            <w:tcMar>
              <w:top w:w="90" w:type="dxa"/>
              <w:start w:w="110" w:type="dxa"/>
              <w:bottom w:w="90" w:type="dxa"/>
              <w:end w:w="110" w:type="dxa"/>
            </w:tcMar>
            <w:shd w:fill="1F4E78"/>
          </w:tcPr>
          <w:p>
            <w:pPr>
              <w:spacing w:after="0" w:before="0" w:line="240" w:lineRule="auto"/>
            </w:pPr>
            <w:r>
              <w:rPr>
                <w:b/>
                <w:color w:val="FFFFFF"/>
                <w:sz w:val="18"/>
              </w:rPr>
              <w:t>Stored information</w:t>
            </w:r>
          </w:p>
        </w:tc>
        <w:tc>
          <w:tcPr>
            <w:tcW w:type="dxa" w:w="2520"/>
            <w:vAlign w:val="center"/>
            <w:tcMar>
              <w:top w:w="90" w:type="dxa"/>
              <w:start w:w="110" w:type="dxa"/>
              <w:bottom w:w="90" w:type="dxa"/>
              <w:end w:w="110" w:type="dxa"/>
            </w:tcMar>
            <w:shd w:fill="1F4E78"/>
          </w:tcPr>
          <w:p>
            <w:pPr>
              <w:spacing w:after="0" w:before="0" w:line="240" w:lineRule="auto"/>
            </w:pPr>
            <w:r>
              <w:rPr>
                <w:b/>
                <w:color w:val="FFFFFF"/>
                <w:sz w:val="18"/>
              </w:rPr>
              <w:t>Principal relationship</w:t>
            </w:r>
          </w:p>
        </w:tc>
      </w:tr>
      <w:tr>
        <w:trPr>
          <w:cantSplit/>
        </w:trPr>
        <w:tc>
          <w:tcPr>
            <w:tcW w:type="dxa" w:w="2088"/>
            <w:vAlign w:val="center"/>
            <w:tcMar>
              <w:top w:w="90" w:type="dxa"/>
              <w:start w:w="110" w:type="dxa"/>
              <w:bottom w:w="90" w:type="dxa"/>
              <w:end w:w="110" w:type="dxa"/>
            </w:tcMar>
            <w:shd w:fill="FFFFFF"/>
          </w:tcPr>
          <w:p>
            <w:pPr>
              <w:spacing w:after="0" w:before="0" w:line="240" w:lineRule="auto"/>
            </w:pPr>
            <w:r>
              <w:rPr>
                <w:sz w:val="18"/>
              </w:rPr>
              <w:t>DatasetGovernance</w:t>
            </w:r>
          </w:p>
        </w:tc>
        <w:tc>
          <w:tcPr>
            <w:tcW w:type="dxa" w:w="4752"/>
            <w:vAlign w:val="center"/>
            <w:tcMar>
              <w:top w:w="90" w:type="dxa"/>
              <w:start w:w="110" w:type="dxa"/>
              <w:bottom w:w="90" w:type="dxa"/>
              <w:end w:w="110" w:type="dxa"/>
            </w:tcMar>
            <w:shd w:fill="FFFFFF"/>
          </w:tcPr>
          <w:p>
            <w:pPr>
              <w:spacing w:after="0" w:before="0" w:line="240" w:lineRule="auto"/>
            </w:pPr>
            <w:r>
              <w:rPr>
                <w:sz w:val="18"/>
              </w:rPr>
              <w:t>Steward, description, governance status, classification and review dates</w:t>
            </w:r>
          </w:p>
        </w:tc>
        <w:tc>
          <w:tcPr>
            <w:tcW w:type="dxa" w:w="2520"/>
            <w:vAlign w:val="center"/>
            <w:tcMar>
              <w:top w:w="90" w:type="dxa"/>
              <w:start w:w="110" w:type="dxa"/>
              <w:bottom w:w="90" w:type="dxa"/>
              <w:end w:w="110" w:type="dxa"/>
            </w:tcMar>
            <w:shd w:fill="FFFFFF"/>
          </w:tcPr>
          <w:p>
            <w:pPr>
              <w:spacing w:after="0" w:before="0" w:line="240" w:lineRule="auto"/>
            </w:pPr>
            <w:r>
              <w:rPr>
                <w:sz w:val="18"/>
              </w:rPr>
              <w:t>One record per Dataset</w:t>
            </w:r>
          </w:p>
        </w:tc>
      </w:tr>
      <w:tr>
        <w:trPr>
          <w:cantSplit/>
        </w:trPr>
        <w:tc>
          <w:tcPr>
            <w:tcW w:type="dxa" w:w="2088"/>
            <w:vAlign w:val="center"/>
            <w:tcMar>
              <w:top w:w="90" w:type="dxa"/>
              <w:start w:w="110" w:type="dxa"/>
              <w:bottom w:w="90" w:type="dxa"/>
              <w:end w:w="110" w:type="dxa"/>
            </w:tcMar>
            <w:shd w:fill="EAF2F8"/>
          </w:tcPr>
          <w:p>
            <w:pPr>
              <w:spacing w:after="0" w:before="0" w:line="240" w:lineRule="auto"/>
            </w:pPr>
            <w:r>
              <w:rPr>
                <w:sz w:val="18"/>
              </w:rPr>
              <w:t>DatasetCertifications</w:t>
            </w:r>
          </w:p>
        </w:tc>
        <w:tc>
          <w:tcPr>
            <w:tcW w:type="dxa" w:w="4752"/>
            <w:vAlign w:val="center"/>
            <w:tcMar>
              <w:top w:w="90" w:type="dxa"/>
              <w:start w:w="110" w:type="dxa"/>
              <w:bottom w:w="90" w:type="dxa"/>
              <w:end w:w="110" w:type="dxa"/>
            </w:tcMar>
            <w:shd w:fill="EAF2F8"/>
          </w:tcPr>
          <w:p>
            <w:pPr>
              <w:spacing w:after="0" w:before="0" w:line="240" w:lineRule="auto"/>
            </w:pPr>
            <w:r>
              <w:rPr>
                <w:sz w:val="18"/>
              </w:rPr>
              <w:t>Submission, reviewer, status, dates, expiry and comments</w:t>
            </w:r>
          </w:p>
        </w:tc>
        <w:tc>
          <w:tcPr>
            <w:tcW w:type="dxa" w:w="2520"/>
            <w:vAlign w:val="center"/>
            <w:tcMar>
              <w:top w:w="90" w:type="dxa"/>
              <w:start w:w="110" w:type="dxa"/>
              <w:bottom w:w="90" w:type="dxa"/>
              <w:end w:w="110" w:type="dxa"/>
            </w:tcMar>
            <w:shd w:fill="EAF2F8"/>
          </w:tcPr>
          <w:p>
            <w:pPr>
              <w:spacing w:after="0" w:before="0" w:line="240" w:lineRule="auto"/>
            </w:pPr>
            <w:r>
              <w:rPr>
                <w:sz w:val="18"/>
              </w:rPr>
              <w:t>Certification history by Dataset</w:t>
            </w:r>
          </w:p>
        </w:tc>
      </w:tr>
      <w:tr>
        <w:trPr>
          <w:cantSplit/>
        </w:trPr>
        <w:tc>
          <w:tcPr>
            <w:tcW w:type="dxa" w:w="2088"/>
            <w:vAlign w:val="center"/>
            <w:tcMar>
              <w:top w:w="90" w:type="dxa"/>
              <w:start w:w="110" w:type="dxa"/>
              <w:bottom w:w="90" w:type="dxa"/>
              <w:end w:w="110" w:type="dxa"/>
            </w:tcMar>
            <w:shd w:fill="FFFFFF"/>
          </w:tcPr>
          <w:p>
            <w:pPr>
              <w:spacing w:after="0" w:before="0" w:line="240" w:lineRule="auto"/>
            </w:pPr>
            <w:r>
              <w:rPr>
                <w:sz w:val="18"/>
              </w:rPr>
              <w:t>DatasetAccessRequests</w:t>
            </w:r>
          </w:p>
        </w:tc>
        <w:tc>
          <w:tcPr>
            <w:tcW w:type="dxa" w:w="4752"/>
            <w:vAlign w:val="center"/>
            <w:tcMar>
              <w:top w:w="90" w:type="dxa"/>
              <w:start w:w="110" w:type="dxa"/>
              <w:bottom w:w="90" w:type="dxa"/>
              <w:end w:w="110" w:type="dxa"/>
            </w:tcMar>
            <w:shd w:fill="FFFFFF"/>
          </w:tcPr>
          <w:p>
            <w:pPr>
              <w:spacing w:after="0" w:before="0" w:line="240" w:lineRule="auto"/>
            </w:pPr>
            <w:r>
              <w:rPr>
                <w:sz w:val="18"/>
              </w:rPr>
              <w:t>Requester, level, justification, reviewer, decision and status</w:t>
            </w:r>
          </w:p>
        </w:tc>
        <w:tc>
          <w:tcPr>
            <w:tcW w:type="dxa" w:w="2520"/>
            <w:vAlign w:val="center"/>
            <w:tcMar>
              <w:top w:w="90" w:type="dxa"/>
              <w:start w:w="110" w:type="dxa"/>
              <w:bottom w:w="90" w:type="dxa"/>
              <w:end w:w="110" w:type="dxa"/>
            </w:tcMar>
            <w:shd w:fill="FFFFFF"/>
          </w:tcPr>
          <w:p>
            <w:pPr>
              <w:spacing w:after="0" w:before="0" w:line="240" w:lineRule="auto"/>
            </w:pPr>
            <w:r>
              <w:rPr>
                <w:sz w:val="18"/>
              </w:rPr>
              <w:t>Request history by Dataset and user</w:t>
            </w:r>
          </w:p>
        </w:tc>
      </w:tr>
      <w:tr>
        <w:trPr>
          <w:cantSplit/>
        </w:trPr>
        <w:tc>
          <w:tcPr>
            <w:tcW w:type="dxa" w:w="2088"/>
            <w:vAlign w:val="center"/>
            <w:tcMar>
              <w:top w:w="90" w:type="dxa"/>
              <w:start w:w="110" w:type="dxa"/>
              <w:bottom w:w="90" w:type="dxa"/>
              <w:end w:w="110" w:type="dxa"/>
            </w:tcMar>
            <w:shd w:fill="EAF2F8"/>
          </w:tcPr>
          <w:p>
            <w:pPr>
              <w:spacing w:after="0" w:before="0" w:line="240" w:lineRule="auto"/>
            </w:pPr>
            <w:r>
              <w:rPr>
                <w:sz w:val="18"/>
              </w:rPr>
              <w:t>DatasetAccessGrants</w:t>
            </w:r>
          </w:p>
        </w:tc>
        <w:tc>
          <w:tcPr>
            <w:tcW w:type="dxa" w:w="4752"/>
            <w:vAlign w:val="center"/>
            <w:tcMar>
              <w:top w:w="90" w:type="dxa"/>
              <w:start w:w="110" w:type="dxa"/>
              <w:bottom w:w="90" w:type="dxa"/>
              <w:end w:w="110" w:type="dxa"/>
            </w:tcMar>
            <w:shd w:fill="EAF2F8"/>
          </w:tcPr>
          <w:p>
            <w:pPr>
              <w:spacing w:after="0" w:before="0" w:line="240" w:lineRule="auto"/>
            </w:pPr>
            <w:r>
              <w:rPr>
                <w:sz w:val="18"/>
              </w:rPr>
              <w:t>Approved level, grantor, dates, expiry, status and revocation</w:t>
            </w:r>
          </w:p>
        </w:tc>
        <w:tc>
          <w:tcPr>
            <w:tcW w:type="dxa" w:w="2520"/>
            <w:vAlign w:val="center"/>
            <w:tcMar>
              <w:top w:w="90" w:type="dxa"/>
              <w:start w:w="110" w:type="dxa"/>
              <w:bottom w:w="90" w:type="dxa"/>
              <w:end w:w="110" w:type="dxa"/>
            </w:tcMar>
            <w:shd w:fill="EAF2F8"/>
          </w:tcPr>
          <w:p>
            <w:pPr>
              <w:spacing w:after="0" w:before="0" w:line="240" w:lineRule="auto"/>
            </w:pPr>
            <w:r>
              <w:rPr>
                <w:sz w:val="18"/>
              </w:rPr>
              <w:t>Active/revoked access by Dataset and user</w:t>
            </w:r>
          </w:p>
        </w:tc>
      </w:tr>
      <w:tr>
        <w:trPr>
          <w:cantSplit/>
        </w:trPr>
        <w:tc>
          <w:tcPr>
            <w:tcW w:type="dxa" w:w="2088"/>
            <w:vAlign w:val="center"/>
            <w:tcMar>
              <w:top w:w="90" w:type="dxa"/>
              <w:start w:w="110" w:type="dxa"/>
              <w:bottom w:w="90" w:type="dxa"/>
              <w:end w:w="110" w:type="dxa"/>
            </w:tcMar>
            <w:shd w:fill="FFFFFF"/>
          </w:tcPr>
          <w:p>
            <w:pPr>
              <w:spacing w:after="0" w:before="0" w:line="240" w:lineRule="auto"/>
            </w:pPr>
            <w:r>
              <w:rPr>
                <w:sz w:val="18"/>
              </w:rPr>
              <w:t>DatasetAccessHistory</w:t>
            </w:r>
          </w:p>
        </w:tc>
        <w:tc>
          <w:tcPr>
            <w:tcW w:type="dxa" w:w="4752"/>
            <w:vAlign w:val="center"/>
            <w:tcMar>
              <w:top w:w="90" w:type="dxa"/>
              <w:start w:w="110" w:type="dxa"/>
              <w:bottom w:w="90" w:type="dxa"/>
              <w:end w:w="110" w:type="dxa"/>
            </w:tcMar>
            <w:shd w:fill="FFFFFF"/>
          </w:tcPr>
          <w:p>
            <w:pPr>
              <w:spacing w:after="0" w:before="0" w:line="240" w:lineRule="auto"/>
            </w:pPr>
            <w:r>
              <w:rPr>
                <w:sz w:val="18"/>
              </w:rPr>
              <w:t>Request status transitions, actor, comments and timestamps</w:t>
            </w:r>
          </w:p>
        </w:tc>
        <w:tc>
          <w:tcPr>
            <w:tcW w:type="dxa" w:w="2520"/>
            <w:vAlign w:val="center"/>
            <w:tcMar>
              <w:top w:w="90" w:type="dxa"/>
              <w:start w:w="110" w:type="dxa"/>
              <w:bottom w:w="90" w:type="dxa"/>
              <w:end w:w="110" w:type="dxa"/>
            </w:tcMar>
            <w:shd w:fill="FFFFFF"/>
          </w:tcPr>
          <w:p>
            <w:pPr>
              <w:spacing w:after="0" w:before="0" w:line="240" w:lineRule="auto"/>
            </w:pPr>
            <w:r>
              <w:rPr>
                <w:sz w:val="18"/>
              </w:rPr>
              <w:t>Events by DatasetAccessRequest</w:t>
            </w:r>
          </w:p>
        </w:tc>
      </w:tr>
    </w:tbl>
    <w:p>
      <w:pPr>
        <w:pStyle w:val="Heading2"/>
        <w:keepNext/>
      </w:pPr>
      <w:r>
        <w:t>Analytics read projections</w:t>
      </w:r>
    </w:p>
    <w:p>
      <w:pPr/>
      <w:r>
        <w:t>The analytics migration adds no physical business tables. Its migration, 20260831055235_AnalyticsDashboardReporting, adds three read-only SQL views, five covering indexes and the reports.export permission (ID ending in 039), with grants for the existing administrator/analyst roles. It does not modify existing import counters or historical profile values. The migration designer, EF snapshot and dated embedded SQL resource are included.</w:t>
      </w:r>
    </w:p>
    <w:tbl>
      <w:tblPr>
        <w:tblW w:type="dxa" w:w="9360"/>
        <w:jc w:val="left"/>
        <w:tblLayout w:type="fixed"/>
        <w:tblLook w:firstColumn="1" w:firstRow="1" w:lastColumn="0" w:lastRow="0" w:noHBand="0" w:noVBand="1" w:val="04A0"/>
        <w:tblInd w:type="dxa" w:w="120"/>
        <w:tblBorders>
          <w:top w:val="single" w:sz="4" w:color="CDD7E2"/>
          <w:left w:val="single" w:sz="4" w:color="CDD7E2"/>
          <w:bottom w:val="single" w:sz="4" w:color="CDD7E2"/>
          <w:right w:val="single" w:sz="4" w:color="CDD7E2"/>
          <w:insideH w:val="single" w:sz="4" w:color="CDD7E2"/>
          <w:insideV w:val="single" w:sz="4" w:color="CDD7E2"/>
        </w:tblBorders>
      </w:tblPr>
      <w:tblGrid>
        <w:gridCol w:w="3600"/>
        <w:gridCol w:w="5760"/>
      </w:tblGrid>
      <w:tr>
        <w:trPr>
          <w:cantSplit/>
          <w:tblHeader/>
        </w:trPr>
        <w:tc>
          <w:tcPr>
            <w:tcW w:type="dxa" w:w="3600"/>
            <w:vAlign w:val="center"/>
            <w:shd w:fill="E8EEF5"/>
            <w:tcMar>
              <w:top w:w="80" w:type="dxa"/>
              <w:bottom w:w="80" w:type="dxa"/>
              <w:start w:w="120" w:type="dxa"/>
              <w:end w:w="120" w:type="dxa"/>
            </w:tcMar>
          </w:tcPr>
          <w:p>
            <w:pPr>
              <w:pStyle w:val="TechnicalTable"/>
            </w:pPr>
            <w:r>
              <w:rPr>
                <w:b/>
              </w:rPr>
              <w:t>SQL view</w:t>
            </w:r>
          </w:p>
        </w:tc>
        <w:tc>
          <w:tcPr>
            <w:tcW w:type="dxa" w:w="5760"/>
            <w:vAlign w:val="center"/>
            <w:shd w:fill="E8EEF5"/>
            <w:tcMar>
              <w:top w:w="80" w:type="dxa"/>
              <w:bottom w:w="80" w:type="dxa"/>
              <w:start w:w="120" w:type="dxa"/>
              <w:end w:w="120" w:type="dxa"/>
            </w:tcMar>
          </w:tcPr>
          <w:p>
            <w:pPr>
              <w:pStyle w:val="TechnicalTable"/>
            </w:pPr>
            <w:r>
              <w:rPr>
                <w:b/>
              </w:rPr>
              <w:t>Purpose</w:t>
            </w:r>
          </w:p>
        </w:tc>
      </w:tr>
      <w:tr>
        <w:trPr>
          <w:cantSplit/>
        </w:trPr>
        <w:tc>
          <w:tcPr>
            <w:tcW w:type="dxa" w:w="3600"/>
            <w:vAlign w:val="center"/>
            <w:tcMar>
              <w:top w:w="80" w:type="dxa"/>
              <w:bottom w:w="80" w:type="dxa"/>
              <w:start w:w="120" w:type="dxa"/>
              <w:end w:w="120" w:type="dxa"/>
            </w:tcMar>
          </w:tcPr>
          <w:p>
            <w:pPr>
              <w:pStyle w:val="TechnicalTable"/>
            </w:pPr>
            <w:r>
              <w:t>dbo.vw_DatasetAnalytics</w:t>
            </w:r>
          </w:p>
        </w:tc>
        <w:tc>
          <w:tcPr>
            <w:tcW w:type="dxa" w:w="5760"/>
            <w:vAlign w:val="center"/>
            <w:tcMar>
              <w:top w:w="80" w:type="dxa"/>
              <w:bottom w:w="80" w:type="dxa"/>
              <w:start w:w="120" w:type="dxa"/>
              <w:end w:w="120" w:type="dxa"/>
            </w:tcMar>
          </w:tcPr>
          <w:p>
            <w:pPr>
              <w:pStyle w:val="TechnicalTable"/>
            </w:pPr>
            <w:r>
              <w:t>Latest completed profile, applied threshold snapshot, latest import, current dataset metadata and attention flags.</w:t>
            </w:r>
          </w:p>
        </w:tc>
      </w:tr>
      <w:tr>
        <w:trPr>
          <w:cantSplit/>
        </w:trPr>
        <w:tc>
          <w:tcPr>
            <w:tcW w:type="dxa" w:w="3600"/>
            <w:vAlign w:val="center"/>
            <w:tcMar>
              <w:top w:w="80" w:type="dxa"/>
              <w:bottom w:w="80" w:type="dxa"/>
              <w:start w:w="120" w:type="dxa"/>
              <w:end w:w="120" w:type="dxa"/>
            </w:tcMar>
          </w:tcPr>
          <w:p>
            <w:pPr>
              <w:pStyle w:val="TechnicalTable"/>
            </w:pPr>
            <w:r>
              <w:t>dbo.vw_ImportAnalytics</w:t>
            </w:r>
          </w:p>
        </w:tc>
        <w:tc>
          <w:tcPr>
            <w:tcW w:type="dxa" w:w="5760"/>
            <w:vAlign w:val="center"/>
            <w:tcMar>
              <w:top w:w="80" w:type="dxa"/>
              <w:bottom w:w="80" w:type="dxa"/>
              <w:start w:w="120" w:type="dxa"/>
              <w:end w:w="120" w:type="dxa"/>
            </w:tcMar>
          </w:tcPr>
          <w:p>
            <w:pPr>
              <w:pStyle w:val="TechnicalTable"/>
            </w:pPr>
            <w:r>
              <w:t>Stored import counters and valid terminal processing duration.</w:t>
            </w:r>
          </w:p>
        </w:tc>
      </w:tr>
      <w:tr>
        <w:trPr>
          <w:cantSplit/>
        </w:trPr>
        <w:tc>
          <w:tcPr>
            <w:tcW w:type="dxa" w:w="3600"/>
            <w:vAlign w:val="center"/>
            <w:tcMar>
              <w:top w:w="80" w:type="dxa"/>
              <w:bottom w:w="80" w:type="dxa"/>
              <w:start w:w="120" w:type="dxa"/>
              <w:end w:w="120" w:type="dxa"/>
            </w:tcMar>
          </w:tcPr>
          <w:p>
            <w:pPr>
              <w:pStyle w:val="TechnicalTable"/>
            </w:pPr>
            <w:r>
              <w:t>dbo.vw_QualityTrendSource</w:t>
            </w:r>
          </w:p>
        </w:tc>
        <w:tc>
          <w:tcPr>
            <w:tcW w:type="dxa" w:w="5760"/>
            <w:vAlign w:val="center"/>
            <w:tcMar>
              <w:top w:w="80" w:type="dxa"/>
              <w:bottom w:w="80" w:type="dxa"/>
              <w:start w:w="120" w:type="dxa"/>
              <w:end w:w="120" w:type="dxa"/>
            </w:tcMar>
          </w:tcPr>
          <w:p>
            <w:pPr>
              <w:pStyle w:val="TechnicalTable"/>
            </w:pPr>
            <w:r>
              <w:t>Completed quality-profile history with UTC day/week/month boundaries.</w:t>
            </w:r>
          </w:p>
        </w:tc>
      </w:tr>
    </w:tbl>
    <w:p>
      <w:pPr>
        <w:pStyle w:val="SourceNote"/>
        <w:spacing w:before="0" w:after="60" w:line="60" w:lineRule="exact"/>
      </w:pPr>
    </w:p>
    <w:p>
      <w:pPr/>
      <w:r>
        <w:t>The analytics read-model workspace rules are described in Scope and read architecture. Permissions and role grants are stored in the existing Permissions and RolePermissions tables.</w:t>
      </w:r>
    </w:p>
    <w:p>
      <w:pPr>
        <w:pStyle w:val="Heading2"/>
        <w:keepNext/>
      </w:pPr>
      <w:r>
        <w:t>Upgrade assets and rollback</w:t>
      </w:r>
    </w:p>
    <w:p>
      <w:pPr/>
      <w:r>
        <w:t>Use SQL/EnterpriseDataIntelligencePlatform.sql as the consolidated SQL reference; it includes analytics, lineage and governance upgrades. Task 22 also provides SQL/20260915_DataGovernanceAccessPolicy.sql for an idempotent governance-only rollout. Prefer versioned EF migrations for an already managed database, and do not manually invent migration-history rows.</w:t>
      </w:r>
    </w:p>
    <w:p>
      <w:pPr/>
      <w:r>
        <w:t>For an already migrated database, prefer EF migrations. If the analytics SQL upgrade was applied first, its migration is repeatable: indexes and permissions are existence-checked and views use CREATE OR ALTER. Do not manually invent migration-history rows. Pre-existing schema drift remains outside the analytics upgrade scope.</w:t>
      </w:r>
    </w:p>
    <w:p>
      <w:pPr/>
      <w:r>
        <w:t>Rolling back the analytics migration removes only its three views, five new indexes and reports.export permission/grants, not datasets, imports or profiles. The dated embedded resource is immutable after rollout; subsequent changes require a new migration.</w:t>
      </w:r>
    </w:p>
    <w:p>
      <w:pPr>
        <w:pStyle w:val="Heading1"/>
        <w:keepNext/>
      </w:pPr>
      <w:r>
        <w:t>Access control and audit logging</w:t>
      </w:r>
    </w:p>
    <w:p>
      <w:pPr>
        <w:pStyle w:val="Heading2"/>
        <w:keepNext/>
      </w:pPr>
      <w:r>
        <w:t>Workspace scope and export defaults</w:t>
      </w:r>
    </w:p>
    <w:p>
      <w:pPr/>
      <w:r>
        <w:t>Read policy accepts the existing analytics.view, dashboards.view, reports.read or reports.generate permissions. Export additionally requires reports.export. Having reports.generate alone is not export authorization.</w:t>
      </w:r>
    </w:p>
    <w:tbl>
      <w:tblPr>
        <w:tblW w:type="dxa" w:w="9360"/>
        <w:jc w:val="left"/>
        <w:tblLayout w:type="fixed"/>
        <w:tblLook w:firstColumn="1" w:firstRow="1" w:lastColumn="0" w:lastRow="0" w:noHBand="0" w:noVBand="1" w:val="04A0"/>
        <w:tblInd w:type="dxa" w:w="120"/>
        <w:tblBorders>
          <w:top w:val="single" w:sz="4" w:color="CDD7E2"/>
          <w:left w:val="single" w:sz="4" w:color="CDD7E2"/>
          <w:bottom w:val="single" w:sz="4" w:color="CDD7E2"/>
          <w:right w:val="single" w:sz="4" w:color="CDD7E2"/>
          <w:insideH w:val="single" w:sz="4" w:color="CDD7E2"/>
          <w:insideV w:val="single" w:sz="4" w:color="CDD7E2"/>
        </w:tblBorders>
      </w:tblPr>
      <w:tblGrid>
        <w:gridCol w:w="2900"/>
        <w:gridCol w:w="4860"/>
        <w:gridCol w:w="1600"/>
      </w:tblGrid>
      <w:tr>
        <w:trPr>
          <w:cantSplit/>
          <w:tblHeader/>
        </w:trPr>
        <w:tc>
          <w:tcPr>
            <w:tcW w:type="dxa" w:w="2900"/>
            <w:vAlign w:val="center"/>
            <w:shd w:fill="E8EEF5"/>
            <w:tcMar>
              <w:top w:w="80" w:type="dxa"/>
              <w:bottom w:w="80" w:type="dxa"/>
              <w:start w:w="120" w:type="dxa"/>
              <w:end w:w="120" w:type="dxa"/>
            </w:tcMar>
          </w:tcPr>
          <w:p>
            <w:pPr>
              <w:pStyle w:val="TechnicalTable"/>
            </w:pPr>
            <w:r>
              <w:rPr>
                <w:b/>
              </w:rPr>
              <w:t>Role</w:t>
            </w:r>
          </w:p>
        </w:tc>
        <w:tc>
          <w:tcPr>
            <w:tcW w:type="dxa" w:w="4860"/>
            <w:vAlign w:val="center"/>
            <w:shd w:fill="E8EEF5"/>
            <w:tcMar>
              <w:top w:w="80" w:type="dxa"/>
              <w:bottom w:w="80" w:type="dxa"/>
              <w:start w:w="120" w:type="dxa"/>
              <w:end w:w="120" w:type="dxa"/>
            </w:tcMar>
          </w:tcPr>
          <w:p>
            <w:pPr>
              <w:pStyle w:val="TechnicalTable"/>
            </w:pPr>
            <w:r>
              <w:rPr>
                <w:b/>
              </w:rPr>
              <w:t>Read scope</w:t>
            </w:r>
          </w:p>
        </w:tc>
        <w:tc>
          <w:tcPr>
            <w:tcW w:type="dxa" w:w="1600"/>
            <w:vAlign w:val="center"/>
            <w:shd w:fill="E8EEF5"/>
            <w:tcMar>
              <w:top w:w="80" w:type="dxa"/>
              <w:bottom w:w="80" w:type="dxa"/>
              <w:start w:w="120" w:type="dxa"/>
              <w:end w:w="120" w:type="dxa"/>
            </w:tcMar>
          </w:tcPr>
          <w:p>
            <w:pPr>
              <w:pStyle w:val="TechnicalTable"/>
            </w:pPr>
            <w:r>
              <w:rPr>
                <w:b/>
              </w:rPr>
              <w:t>Default export</w:t>
            </w:r>
          </w:p>
        </w:tc>
      </w:tr>
      <w:tr>
        <w:trPr>
          <w:cantSplit/>
        </w:trPr>
        <w:tc>
          <w:tcPr>
            <w:tcW w:type="dxa" w:w="2900"/>
            <w:vAlign w:val="center"/>
            <w:tcMar>
              <w:top w:w="80" w:type="dxa"/>
              <w:bottom w:w="80" w:type="dxa"/>
              <w:start w:w="120" w:type="dxa"/>
              <w:end w:w="120" w:type="dxa"/>
            </w:tcMar>
          </w:tcPr>
          <w:p>
            <w:pPr>
              <w:pStyle w:val="TechnicalTable"/>
            </w:pPr>
            <w:r>
              <w:t>Platform Administrator</w:t>
            </w:r>
          </w:p>
        </w:tc>
        <w:tc>
          <w:tcPr>
            <w:tcW w:type="dxa" w:w="4860"/>
            <w:vAlign w:val="center"/>
            <w:tcMar>
              <w:top w:w="80" w:type="dxa"/>
              <w:bottom w:w="80" w:type="dxa"/>
              <w:start w:w="120" w:type="dxa"/>
              <w:end w:w="120" w:type="dxa"/>
            </w:tcMar>
          </w:tcPr>
          <w:p>
            <w:pPr>
              <w:pStyle w:val="TechnicalTable"/>
            </w:pPr>
            <w:r>
              <w:t>Platform and cross-workspace</w:t>
            </w:r>
          </w:p>
        </w:tc>
        <w:tc>
          <w:tcPr>
            <w:tcW w:type="dxa" w:w="1600"/>
            <w:vAlign w:val="center"/>
            <w:tcMar>
              <w:top w:w="80" w:type="dxa"/>
              <w:bottom w:w="80" w:type="dxa"/>
              <w:start w:w="120" w:type="dxa"/>
              <w:end w:w="120" w:type="dxa"/>
            </w:tcMar>
          </w:tcPr>
          <w:p>
            <w:pPr>
              <w:pStyle w:val="TechnicalTable"/>
            </w:pPr>
            <w:r>
              <w:t>Yes</w:t>
            </w:r>
          </w:p>
        </w:tc>
      </w:tr>
      <w:tr>
        <w:trPr>
          <w:cantSplit/>
        </w:trPr>
        <w:tc>
          <w:tcPr>
            <w:tcW w:type="dxa" w:w="2900"/>
            <w:vAlign w:val="center"/>
            <w:tcMar>
              <w:top w:w="80" w:type="dxa"/>
              <w:bottom w:w="80" w:type="dxa"/>
              <w:start w:w="120" w:type="dxa"/>
              <w:end w:w="120" w:type="dxa"/>
            </w:tcMar>
          </w:tcPr>
          <w:p>
            <w:pPr>
              <w:pStyle w:val="TechnicalTable"/>
            </w:pPr>
            <w:r>
              <w:t>Workspace Administrator</w:t>
            </w:r>
          </w:p>
        </w:tc>
        <w:tc>
          <w:tcPr>
            <w:tcW w:type="dxa" w:w="4860"/>
            <w:vAlign w:val="center"/>
            <w:tcMar>
              <w:top w:w="80" w:type="dxa"/>
              <w:bottom w:w="80" w:type="dxa"/>
              <w:start w:w="120" w:type="dxa"/>
              <w:end w:w="120" w:type="dxa"/>
            </w:tcMar>
          </w:tcPr>
          <w:p>
            <w:pPr>
              <w:pStyle w:val="TechnicalTable"/>
            </w:pPr>
            <w:r>
              <w:t>Own workspace</w:t>
            </w:r>
          </w:p>
        </w:tc>
        <w:tc>
          <w:tcPr>
            <w:tcW w:type="dxa" w:w="1600"/>
            <w:vAlign w:val="center"/>
            <w:tcMar>
              <w:top w:w="80" w:type="dxa"/>
              <w:bottom w:w="80" w:type="dxa"/>
              <w:start w:w="120" w:type="dxa"/>
              <w:end w:w="120" w:type="dxa"/>
            </w:tcMar>
          </w:tcPr>
          <w:p>
            <w:pPr>
              <w:pStyle w:val="TechnicalTable"/>
            </w:pPr>
            <w:r>
              <w:t>Yes</w:t>
            </w:r>
          </w:p>
        </w:tc>
      </w:tr>
      <w:tr>
        <w:trPr>
          <w:cantSplit/>
        </w:trPr>
        <w:tc>
          <w:tcPr>
            <w:tcW w:type="dxa" w:w="2900"/>
            <w:vAlign w:val="center"/>
            <w:tcMar>
              <w:top w:w="80" w:type="dxa"/>
              <w:bottom w:w="80" w:type="dxa"/>
              <w:start w:w="120" w:type="dxa"/>
              <w:end w:w="120" w:type="dxa"/>
            </w:tcMar>
          </w:tcPr>
          <w:p>
            <w:pPr>
              <w:pStyle w:val="TechnicalTable"/>
            </w:pPr>
            <w:r>
              <w:t>Data Analyst</w:t>
            </w:r>
          </w:p>
        </w:tc>
        <w:tc>
          <w:tcPr>
            <w:tcW w:type="dxa" w:w="4860"/>
            <w:vAlign w:val="center"/>
            <w:tcMar>
              <w:top w:w="80" w:type="dxa"/>
              <w:bottom w:w="80" w:type="dxa"/>
              <w:start w:w="120" w:type="dxa"/>
              <w:end w:w="120" w:type="dxa"/>
            </w:tcMar>
          </w:tcPr>
          <w:p>
            <w:pPr>
              <w:pStyle w:val="TechnicalTable"/>
            </w:pPr>
            <w:r>
              <w:t>Existing permitted workspace datasets</w:t>
            </w:r>
          </w:p>
        </w:tc>
        <w:tc>
          <w:tcPr>
            <w:tcW w:type="dxa" w:w="1600"/>
            <w:vAlign w:val="center"/>
            <w:tcMar>
              <w:top w:w="80" w:type="dxa"/>
              <w:bottom w:w="80" w:type="dxa"/>
              <w:start w:w="120" w:type="dxa"/>
              <w:end w:w="120" w:type="dxa"/>
            </w:tcMar>
          </w:tcPr>
          <w:p>
            <w:pPr>
              <w:pStyle w:val="TechnicalTable"/>
            </w:pPr>
            <w:r>
              <w:t>Yes</w:t>
            </w:r>
          </w:p>
        </w:tc>
      </w:tr>
      <w:tr>
        <w:trPr>
          <w:cantSplit/>
        </w:trPr>
        <w:tc>
          <w:tcPr>
            <w:tcW w:type="dxa" w:w="2900"/>
            <w:vAlign w:val="center"/>
            <w:tcMar>
              <w:top w:w="80" w:type="dxa"/>
              <w:bottom w:w="80" w:type="dxa"/>
              <w:start w:w="120" w:type="dxa"/>
              <w:end w:w="120" w:type="dxa"/>
            </w:tcMar>
          </w:tcPr>
          <w:p>
            <w:pPr>
              <w:pStyle w:val="TechnicalTable"/>
            </w:pPr>
            <w:r>
              <w:t>Business User</w:t>
            </w:r>
          </w:p>
        </w:tc>
        <w:tc>
          <w:tcPr>
            <w:tcW w:type="dxa" w:w="4860"/>
            <w:vAlign w:val="center"/>
            <w:tcMar>
              <w:top w:w="80" w:type="dxa"/>
              <w:bottom w:w="80" w:type="dxa"/>
              <w:start w:w="120" w:type="dxa"/>
              <w:end w:w="120" w:type="dxa"/>
            </w:tcMar>
          </w:tcPr>
          <w:p>
            <w:pPr>
              <w:pStyle w:val="TechnicalTable"/>
            </w:pPr>
            <w:r>
              <w:t>Own permitted summary/read-only analytics</w:t>
            </w:r>
          </w:p>
        </w:tc>
        <w:tc>
          <w:tcPr>
            <w:tcW w:type="dxa" w:w="1600"/>
            <w:vAlign w:val="center"/>
            <w:tcMar>
              <w:top w:w="80" w:type="dxa"/>
              <w:bottom w:w="80" w:type="dxa"/>
              <w:start w:w="120" w:type="dxa"/>
              <w:end w:w="120" w:type="dxa"/>
            </w:tcMar>
          </w:tcPr>
          <w:p>
            <w:pPr>
              <w:pStyle w:val="TechnicalTable"/>
            </w:pPr>
            <w:r>
              <w:t>No</w:t>
            </w:r>
          </w:p>
        </w:tc>
      </w:tr>
      <w:tr>
        <w:trPr>
          <w:cantSplit/>
        </w:trPr>
        <w:tc>
          <w:tcPr>
            <w:tcW w:type="dxa" w:w="2900"/>
            <w:vAlign w:val="center"/>
            <w:tcMar>
              <w:top w:w="80" w:type="dxa"/>
              <w:bottom w:w="80" w:type="dxa"/>
              <w:start w:w="120" w:type="dxa"/>
              <w:end w:w="120" w:type="dxa"/>
            </w:tcMar>
          </w:tcPr>
          <w:p>
            <w:pPr>
              <w:pStyle w:val="TechnicalTable"/>
            </w:pPr>
            <w:r>
              <w:t>Viewer</w:t>
            </w:r>
          </w:p>
        </w:tc>
        <w:tc>
          <w:tcPr>
            <w:tcW w:type="dxa" w:w="4860"/>
            <w:vAlign w:val="center"/>
            <w:tcMar>
              <w:top w:w="80" w:type="dxa"/>
              <w:bottom w:w="80" w:type="dxa"/>
              <w:start w:w="120" w:type="dxa"/>
              <w:end w:w="120" w:type="dxa"/>
            </w:tcMar>
          </w:tcPr>
          <w:p>
            <w:pPr>
              <w:pStyle w:val="TechnicalTable"/>
            </w:pPr>
            <w:r>
              <w:t>Own permitted read-only analytics</w:t>
            </w:r>
          </w:p>
        </w:tc>
        <w:tc>
          <w:tcPr>
            <w:tcW w:type="dxa" w:w="1600"/>
            <w:vAlign w:val="center"/>
            <w:tcMar>
              <w:top w:w="80" w:type="dxa"/>
              <w:bottom w:w="80" w:type="dxa"/>
              <w:start w:w="120" w:type="dxa"/>
              <w:end w:w="120" w:type="dxa"/>
            </w:tcMar>
          </w:tcPr>
          <w:p>
            <w:pPr>
              <w:pStyle w:val="TechnicalTable"/>
            </w:pPr>
            <w:r>
              <w:t>No</w:t>
            </w:r>
          </w:p>
        </w:tc>
      </w:tr>
    </w:tbl>
    <w:p>
      <w:pPr>
        <w:pStyle w:val="SourceNote"/>
        <w:spacing w:before="0" w:after="60" w:line="60" w:lineRule="exact"/>
      </w:pPr>
    </w:p>
    <w:p>
      <w:pPr/>
      <w:r>
        <w:t>Governance adds dataset-level grants only where classification requires them; it does not add multi-workspace membership. Public and Internal datasets remain available to authorized workspace members, while Confidential and Restricted datasets require ownership, stewardship, administrative authority or a sufficient active grant. The same scope queries feed API reports and exports. Permissions are checked from the current role-permission store on each request, and no permission or grant can cross a workspace boundary.</w:t>
      </w:r>
    </w:p>
    <w:p>
      <w:pPr>
        <w:pStyle w:val="Heading2"/>
        <w:keepNext/>
      </w:pPr>
      <w:r>
        <w:t>Module operation permissions</w:t>
      </w:r>
    </w:p>
    <w:p>
      <w:pPr>
        <w:pStyle w:val="ListBullet"/>
        <w:numPr>
          <w:ilvl w:val="0"/>
          <w:numId w:val="10"/>
        </w:numPr>
      </w:pPr>
      <w:r>
        <w:t>Ingestion: Platform Administrator, Workspace Administrator and Data Analyst receive import-management permissions; Business User and Viewer receive imports.view only. HasPermission attributes protect the operations; see the ingestion API table for the seven permission names and their routes.</w:t>
      </w:r>
    </w:p>
    <w:p>
      <w:pPr>
        <w:pStyle w:val="ListBullet"/>
        <w:numPr>
          <w:ilvl w:val="0"/>
          <w:numId w:val="10"/>
        </w:numPr>
      </w:pPr>
      <w:r>
        <w:t>Quality: Platform Administrator and Workspace Administrator can run/view profiles, inspect detailed issues and manage thresholds within their scope. Data Analyst can run/view profiles and inspect issues for permitted datasets. Business User and Viewer receive aggregated read-only results without detailed issue values. See the quality API table for each permission.</w:t>
      </w:r>
    </w:p>
    <w:p>
      <w:pPr>
        <w:pStyle w:val="ListBullet"/>
        <w:numPr>
          <w:ilvl w:val="0"/>
          <w:numId w:val="10"/>
        </w:numPr>
      </w:pPr>
      <w:r>
        <w:t>All quality entities carry WorkspaceId. Controller operations use permission policies rather than hard-coded role checks. The shared dataset-access policy now additionally filters or rejects quality and analytics operations for Confidential and Restricted datasets unless the current user has implicit owner/steward/administrator access or a sufficient active grant.</w:t>
      </w:r>
    </w:p>
    <w:p>
      <w:pPr>
        <w:pStyle w:val="ListBullet"/>
      </w:pPr>
      <w:r>
        <w:t>Governance: governance.view, governance.manage, governance.certify, datasetaccess.request, datasetaccess.review, datasetaccess.revoke and governance.dashboard protect the new operations. Service-level checks further restrict reviews and revocations to the dataset owner, steward or workspace/platform administrator and prohibit self-approval.</w:t>
      </w:r>
    </w:p>
    <w:p>
      <w:pPr>
        <w:pStyle w:val="Heading2"/>
        <w:keepNext/>
      </w:pPr>
      <w:r>
        <w:t>Audit events</w:t>
      </w:r>
    </w:p>
    <w:p>
      <w:pPr>
        <w:pStyle w:val="ListBullet"/>
        <w:numPr>
          <w:ilvl w:val="0"/>
          <w:numId w:val="10"/>
        </w:numPr>
      </w:pPr>
      <w:r>
        <w:t>Platform: login/logout, password changes, workspace/user/role changes, dataset creation/updates, version changes, archive/restore and soft delete.</w:t>
      </w:r>
    </w:p>
    <w:p>
      <w:pPr>
        <w:pStyle w:val="ListBullet"/>
        <w:numPr>
          <w:ilvl w:val="0"/>
          <w:numId w:val="10"/>
        </w:numPr>
      </w:pPr>
      <w:r>
        <w:t>Ingestion: upload, configuration, initiation, completion, failure and cancellation through the existing audit service.</w:t>
      </w:r>
    </w:p>
    <w:p>
      <w:pPr>
        <w:pStyle w:val="ListBullet"/>
        <w:numPr>
          <w:ilvl w:val="0"/>
          <w:numId w:val="10"/>
        </w:numPr>
      </w:pPr>
      <w:r>
        <w:t>Quality: Profiling Started, Profiling Completed, Profiling Failed, Profiling Cancelled and Quality Threshold Configuration Changed. Events include applicable profile/dataset/import IDs, workspace, initiating user, outcome and UTC timestamp.</w:t>
      </w:r>
    </w:p>
    <w:p>
      <w:pPr>
        <w:pStyle w:val="ListBullet"/>
      </w:pPr>
      <w:r>
        <w:t>Governance: classification, owner/steward, certification, access-request, approval/rejection and revocation actions use the existing audit service with workspace, actor, dataset/request identifiers, outcome and UTC timestamp.</w:t>
      </w:r>
    </w:p>
    <w:p>
      <w:pPr/>
      <w:r>
        <w:t>Report Generated is recorded after successful structured report construction. Report Exported is recorded after the file is generated, before returning the download; it records format, scope, row count and dates, not file contents. Privileged platform analytics access is audited. Regular dashboard polling by other roles is not logged per GET. Existing administrative threshold/configuration audits remain in their modules; The analytics module introduces no new administrative configuration endpoint.</w:t>
      </w:r>
    </w:p>
    <w:p>
      <w:pPr>
        <w:pStyle w:val="Heading1"/>
        <w:keepNext/>
      </w:pPr>
      <w:r>
        <w:t>Configuration and deployment</w:t>
      </w:r>
    </w:p>
    <w:p>
      <w:pPr>
        <w:pStyle w:val="Heading2"/>
        <w:keepNext/>
      </w:pPr>
      <w:r>
        <w:t>Application and security settings</w:t>
      </w:r>
    </w:p>
    <w:p>
      <w:pPr/>
      <w:r>
        <w:t>Configure ConnectionStrings, Jwt, DefaultAdmin and PasswordReset in the existing application configuration. For local development, use User Secrets where appropriate; keep production secrets in a secure provider such as Azure Key Vault or environment variables. Never commit production secrets, replace development JWT keys/default administrator passwords, enable HTTPS, restrict CORS, and configure database backups and monitoring.</w:t>
      </w:r>
    </w:p>
    <w:p>
      <w:pPr>
        <w:pStyle w:val="Heading2"/>
        <w:keepNext/>
      </w:pPr>
      <w:r>
        <w:t>Ingestion settings and storage</w:t>
      </w:r>
    </w:p>
    <w:p>
      <w:pPr>
        <w:pStyle w:val="TechnicalCode"/>
        <w:keepNext/>
        <w:spacing w:before="60" w:after="0"/>
        <w:shd w:fill="F4F6F9"/>
      </w:pPr>
      <w:r>
        <w:rPr>
          <w:rFonts w:ascii="DejaVu Sans Mono" w:hAnsi="DejaVu Sans Mono" w:eastAsia="DejaVu Sans Mono" w:cs="DejaVu Sans Mono"/>
        </w:rPr>
        <w:t>"Ingestion": {</w:t>
      </w:r>
    </w:p>
    <w:p>
      <w:pPr>
        <w:pStyle w:val="TechnicalCode"/>
        <w:keepNext/>
        <w:spacing w:before="0" w:after="0"/>
        <w:shd w:fill="F4F6F9"/>
      </w:pPr>
      <w:r>
        <w:rPr>
          <w:rFonts w:ascii="DejaVu Sans Mono" w:hAnsi="DejaVu Sans Mono" w:eastAsia="DejaVu Sans Mono" w:cs="DejaVu Sans Mono"/>
        </w:rPr>
        <w:t xml:space="preserve">  "MaxFileSizeMb": 25,</w:t>
      </w:r>
    </w:p>
    <w:p>
      <w:pPr>
        <w:pStyle w:val="TechnicalCode"/>
        <w:keepNext/>
        <w:spacing w:before="0" w:after="0"/>
        <w:shd w:fill="F4F6F9"/>
      </w:pPr>
      <w:r>
        <w:rPr>
          <w:rFonts w:ascii="DejaVu Sans Mono" w:hAnsi="DejaVu Sans Mono" w:eastAsia="DejaVu Sans Mono" w:cs="DejaVu Sans Mono"/>
        </w:rPr>
        <w:t xml:space="preserve">  "StorageRoot": "App_Data/Imports",</w:t>
      </w:r>
    </w:p>
    <w:p>
      <w:pPr>
        <w:pStyle w:val="TechnicalCode"/>
        <w:keepNext/>
        <w:spacing w:before="0" w:after="0"/>
        <w:shd w:fill="F4F6F9"/>
      </w:pPr>
      <w:r>
        <w:rPr>
          <w:rFonts w:ascii="DejaVu Sans Mono" w:hAnsi="DejaVu Sans Mono" w:eastAsia="DejaVu Sans Mono" w:cs="DejaVu Sans Mono"/>
        </w:rPr>
        <w:t xml:space="preserve">  "DetailedErrorLimit": 10000</w:t>
      </w:r>
    </w:p>
    <w:p>
      <w:pPr>
        <w:pStyle w:val="TechnicalCode"/>
        <w:keepNext w:val="0"/>
        <w:spacing w:before="0" w:after="140"/>
        <w:shd w:fill="F4F6F9"/>
      </w:pPr>
      <w:r>
        <w:rPr>
          <w:rFonts w:ascii="DejaVu Sans Mono" w:hAnsi="DejaVu Sans Mono" w:eastAsia="DejaVu Sans Mono" w:cs="DejaVu Sans Mono"/>
        </w:rPr>
        <w:t>}</w:t>
      </w:r>
    </w:p>
    <w:p>
      <w:pPr/>
      <w:r>
        <w:t>The current local storage implementation creates a path by WorkspaceId and DatasetId, then saves the upload with a generated GUID filename while preserving the original name in metadata. IFileStorageService allows Azure Blob Storage or another provider to replace local storage without changing controller or orchestration code.</w:t>
      </w:r>
    </w:p>
    <w:p>
      <w:pPr/>
      <w:r>
        <w:t>The storage root must be writable and included in backup/retention policies. The supplied ingestion guide records implementation caveats for MaxFileSizeMb and DetailedErrorLimit; see Production-readiness limitations below.</w:t>
      </w:r>
    </w:p>
    <w:p>
      <w:pPr>
        <w:pStyle w:val="Heading2"/>
        <w:keepNext/>
      </w:pPr>
      <w:r>
        <w:t>Analytics settings and caching</w:t>
      </w:r>
    </w:p>
    <w:p>
      <w:pPr/>
      <w:r>
        <w:t>The following are optional; code defaults apply when settings are absent.</w:t>
      </w:r>
    </w:p>
    <w:p>
      <w:pPr>
        <w:pStyle w:val="TechnicalCode"/>
        <w:keepNext/>
        <w:spacing w:before="60" w:after="0"/>
        <w:shd w:fill="F4F6F9"/>
      </w:pPr>
      <w:r>
        <w:rPr>
          <w:rFonts w:ascii="DejaVu Sans Mono" w:hAnsi="DejaVu Sans Mono" w:eastAsia="DejaVu Sans Mono" w:cs="DejaVu Sans Mono"/>
        </w:rPr>
        <w:t>{</w:t>
      </w:r>
    </w:p>
    <w:p>
      <w:pPr>
        <w:pStyle w:val="TechnicalCode"/>
        <w:keepNext/>
        <w:spacing w:before="0" w:after="0"/>
        <w:shd w:fill="F4F6F9"/>
      </w:pPr>
      <w:r>
        <w:rPr>
          <w:rFonts w:ascii="DejaVu Sans Mono" w:hAnsi="DejaVu Sans Mono" w:eastAsia="DejaVu Sans Mono" w:cs="DejaVu Sans Mono"/>
        </w:rPr>
        <w:t xml:space="preserve">  "Analytics": {</w:t>
      </w:r>
    </w:p>
    <w:p>
      <w:pPr>
        <w:pStyle w:val="TechnicalCode"/>
        <w:keepNext/>
        <w:spacing w:before="0" w:after="0"/>
        <w:shd w:fill="F4F6F9"/>
      </w:pPr>
      <w:r>
        <w:rPr>
          <w:rFonts w:ascii="DejaVu Sans Mono" w:hAnsi="DejaVu Sans Mono" w:eastAsia="DejaVu Sans Mono" w:cs="DejaVu Sans Mono"/>
        </w:rPr>
        <w:t xml:space="preserve">    "MaxExportRows": 10000,</w:t>
      </w:r>
    </w:p>
    <w:p>
      <w:pPr>
        <w:pStyle w:val="TechnicalCode"/>
        <w:keepNext/>
        <w:spacing w:before="0" w:after="0"/>
        <w:shd w:fill="F4F6F9"/>
      </w:pPr>
      <w:r>
        <w:rPr>
          <w:rFonts w:ascii="DejaVu Sans Mono" w:hAnsi="DejaVu Sans Mono" w:eastAsia="DejaVu Sans Mono" w:cs="DejaVu Sans Mono"/>
        </w:rPr>
        <w:t xml:space="preserve">    "MaxTrendDays": 366,</w:t>
      </w:r>
    </w:p>
    <w:p>
      <w:pPr>
        <w:pStyle w:val="TechnicalCode"/>
        <w:keepNext/>
        <w:spacing w:before="0" w:after="0"/>
        <w:shd w:fill="F4F6F9"/>
      </w:pPr>
      <w:r>
        <w:rPr>
          <w:rFonts w:ascii="DejaVu Sans Mono" w:hAnsi="DejaVu Sans Mono" w:eastAsia="DejaVu Sans Mono" w:cs="DejaVu Sans Mono"/>
        </w:rPr>
        <w:t xml:space="preserve">    "SummaryCacheSeconds": 0</w:t>
      </w:r>
    </w:p>
    <w:p>
      <w:pPr>
        <w:pStyle w:val="TechnicalCode"/>
        <w:keepNext/>
        <w:spacing w:before="0" w:after="0"/>
        <w:shd w:fill="F4F6F9"/>
      </w:pPr>
      <w:r>
        <w:rPr>
          <w:rFonts w:ascii="DejaVu Sans Mono" w:hAnsi="DejaVu Sans Mono" w:eastAsia="DejaVu Sans Mono" w:cs="DejaVu Sans Mono"/>
        </w:rPr>
        <w:t xml:space="preserve">  }</w:t>
      </w:r>
    </w:p>
    <w:p>
      <w:pPr>
        <w:pStyle w:val="TechnicalCode"/>
        <w:keepNext w:val="0"/>
        <w:spacing w:before="0" w:after="140"/>
        <w:shd w:fill="F4F6F9"/>
      </w:pPr>
      <w:r>
        <w:rPr>
          <w:rFonts w:ascii="DejaVu Sans Mono" w:hAnsi="DejaVu Sans Mono" w:eastAsia="DejaVu Sans Mono" w:cs="DejaVu Sans Mono"/>
        </w:rPr>
        <w:t>}</w:t>
      </w:r>
    </w:p>
    <w:p>
      <w:pPr/>
      <w:r>
        <w:t>Caching is disabled by default. A positive SummaryCacheSeconds enables in-memory dashboard-summary caching, capped at 300 seconds. Cache keys include user, workspace, administrator context and all filters; authorization/scope validation still runs before lookup. Data freshness is TTL-based, not immediate invalidation. Multiple instances have separate caches; configure zero for immediately refreshed summaries. Server-side caching never changes no-store client response headers.</w:t>
      </w:r>
    </w:p>
    <w:p>
      <w:pPr/>
      <w:r>
        <w:t>No Redis, second ingestion pipeline or new external analytics service is required.</w:t>
      </w:r>
    </w:p>
    <w:p>
      <w:pPr>
        <w:pStyle w:val="Heading2"/>
        <w:keepNext/>
      </w:pPr>
      <w:r>
        <w:t>Build, database update and API startup</w:t>
      </w:r>
    </w:p>
    <w:p>
      <w:pPr>
        <w:pStyle w:val="ListNumber"/>
        <w:numPr>
          <w:ilvl w:val="0"/>
          <w:numId w:val="12"/>
        </w:numPr>
      </w:pPr>
      <w:r>
        <w:t>Install the .NET 8 SDK and open the solution root. Confirm DefaultConnection identifies the intended SQL Server/database; back up an existing target database before applying migrations.</w:t>
      </w:r>
    </w:p>
    <w:p>
      <w:pPr>
        <w:pStyle w:val="ListNumber"/>
        <w:numPr>
          <w:ilvl w:val="0"/>
          <w:numId w:val="12"/>
        </w:numPr>
      </w:pPr>
      <w:r>
        <w:t>Configure a dedicated test SQL Server account through the configured SQL Server test connection variable if running the database-backed suite. The account must be permitted to create and remove disposable test databases.</w:t>
      </w:r>
    </w:p>
    <w:p>
      <w:pPr>
        <w:pStyle w:val="ListNumber"/>
        <w:numPr>
          <w:ilvl w:val="0"/>
          <w:numId w:val="12"/>
        </w:numPr>
      </w:pPr>
      <w:r>
        <w:t>Restore, build and test the solution using the commands below. Apply the versioned migrations to the target development/test database, then start the API.</w:t>
      </w:r>
    </w:p>
    <w:p>
      <w:pPr>
        <w:pStyle w:val="TechnicalCode"/>
        <w:keepNext/>
        <w:spacing w:before="60" w:after="0"/>
        <w:shd w:fill="F4F6F9"/>
      </w:pPr>
      <w:r>
        <w:rPr>
          <w:rFonts w:ascii="DejaVu Sans Mono" w:hAnsi="DejaVu Sans Mono" w:eastAsia="DejaVu Sans Mono" w:cs="DejaVu Sans Mono"/>
        </w:rPr>
        <w:t>dotnet restore EnterpriseDataIntelligencePlatform.sln</w:t>
      </w:r>
    </w:p>
    <w:p>
      <w:pPr>
        <w:pStyle w:val="TechnicalCode"/>
        <w:keepNext/>
        <w:spacing w:before="0" w:after="0"/>
        <w:shd w:fill="F4F6F9"/>
      </w:pPr>
      <w:r>
        <w:rPr>
          <w:rFonts w:ascii="DejaVu Sans Mono" w:hAnsi="DejaVu Sans Mono" w:eastAsia="DejaVu Sans Mono" w:cs="DejaVu Sans Mono"/>
        </w:rPr>
        <w:t>dotnet build EnterpriseDataIntelligencePlatform.sln --configuration Release</w:t>
      </w:r>
    </w:p>
    <w:p>
      <w:pPr>
        <w:pStyle w:val="TechnicalCode"/>
        <w:keepNext/>
        <w:spacing w:before="0" w:after="0"/>
        <w:shd w:fill="F4F6F9"/>
      </w:pPr>
      <w:r>
        <w:rPr>
          <w:rFonts w:ascii="DejaVu Sans Mono" w:hAnsi="DejaVu Sans Mono" w:eastAsia="DejaVu Sans Mono" w:cs="DejaVu Sans Mono"/>
        </w:rPr>
        <w:t>dotnet test EnterpriseDataIntelligencePlatform.sln --configuration Release</w:t>
      </w:r>
    </w:p>
    <w:p>
      <w:pPr>
        <w:pStyle w:val="TechnicalCode"/>
        <w:keepNext/>
        <w:spacing w:before="0" w:after="0"/>
        <w:shd w:fill="F4F6F9"/>
      </w:pPr>
      <w:r>
        <w:rPr>
          <w:rFonts w:ascii="DejaVu Sans Mono" w:hAnsi="DejaVu Sans Mono" w:eastAsia="DejaVu Sans Mono" w:cs="DejaVu Sans Mono"/>
        </w:rPr>
        <w:t>dotnet ef database update \</w:t>
      </w:r>
    </w:p>
    <w:p>
      <w:pPr>
        <w:pStyle w:val="TechnicalCode"/>
        <w:keepNext/>
        <w:spacing w:before="0" w:after="0"/>
        <w:shd w:fill="F4F6F9"/>
      </w:pPr>
      <w:r>
        <w:rPr>
          <w:rFonts w:ascii="DejaVu Sans Mono" w:hAnsi="DejaVu Sans Mono" w:eastAsia="DejaVu Sans Mono" w:cs="DejaVu Sans Mono"/>
        </w:rPr>
        <w:t xml:space="preserve">  --project EnterpriseDataIntelligencePlatform \</w:t>
      </w:r>
    </w:p>
    <w:p>
      <w:pPr>
        <w:pStyle w:val="TechnicalCode"/>
        <w:keepNext/>
        <w:spacing w:before="0" w:after="0"/>
        <w:shd w:fill="F4F6F9"/>
      </w:pPr>
      <w:r>
        <w:rPr>
          <w:rFonts w:ascii="DejaVu Sans Mono" w:hAnsi="DejaVu Sans Mono" w:eastAsia="DejaVu Sans Mono" w:cs="DejaVu Sans Mono"/>
        </w:rPr>
        <w:t xml:space="preserve">  --startup-project EnterpriseDataIntelligencePlatform</w:t>
      </w:r>
    </w:p>
    <w:p>
      <w:pPr>
        <w:pStyle w:val="TechnicalCode"/>
        <w:keepNext w:val="0"/>
        <w:spacing w:before="0" w:after="140"/>
        <w:shd w:fill="F4F6F9"/>
      </w:pPr>
      <w:r>
        <w:rPr>
          <w:rFonts w:ascii="DejaVu Sans Mono" w:hAnsi="DejaVu Sans Mono" w:eastAsia="DejaVu Sans Mono" w:cs="DejaVu Sans Mono"/>
        </w:rPr>
        <w:t>dotnet run --project EnterpriseDataIntelligencePlatform</w:t>
      </w:r>
    </w:p>
    <w:p>
      <w:pPr/>
      <w:r>
        <w:t>The line continuations above use a Bash shell; run the database-update command on one line in other shells. Visual Studio Package Manager Console users can instead run:</w:t>
      </w:r>
    </w:p>
    <w:p>
      <w:pPr>
        <w:pStyle w:val="TechnicalCode"/>
        <w:keepNext w:val="0"/>
        <w:spacing w:before="60" w:after="140"/>
        <w:shd w:fill="F4F6F9"/>
      </w:pPr>
      <w:r>
        <w:rPr>
          <w:rFonts w:ascii="DejaVu Sans Mono" w:hAnsi="DejaVu Sans Mono" w:eastAsia="DejaVu Sans Mono" w:cs="DejaVu Sans Mono"/>
        </w:rPr>
        <w:t>Update-Database -Project EnterpriseDataIntelligencePlatform -StartupProject EnterpriseDataIntelligencePlatform</w:t>
      </w:r>
    </w:p>
    <w:p>
      <w:pPr/>
      <w:r>
        <w:t>Run the Package Manager Console command on one line. Application startup also applies pending migrations. The design-time factory prevents Program startup/migration/seed logic from running merely to scaffold a migration.</w:t>
      </w:r>
    </w:p>
    <w:p>
      <w:pPr>
        <w:pStyle w:val="Heading2"/>
        <w:keepNext/>
      </w:pPr>
      <w:r>
        <w:t>Swagger, Postman and rollout checks</w:t>
      </w:r>
    </w:p>
    <w:p>
      <w:pPr>
        <w:pStyle w:val="ListNumber"/>
        <w:numPr>
          <w:ilvl w:val="0"/>
          <w:numId w:val="13"/>
        </w:numPr>
      </w:pPr>
      <w:r>
        <w:t>Open the configured Swagger URL (the source development example is https://localhost:62725/swagger), log in through the authentication API, copy the JWT access token and use Authorize with Bearer &lt;token&gt;.</w:t>
      </w:r>
    </w:p>
    <w:p>
      <w:pPr>
        <w:pStyle w:val="ListNumber"/>
        <w:numPr>
          <w:ilvl w:val="0"/>
          <w:numId w:val="13"/>
        </w:numPr>
      </w:pPr>
      <w:r>
        <w:t>Use the supplied collections with real role-specific tokens and representative workspace data. Verify normal reads, exports, missing authentication, forbidden cross-workspace access and invalid parameters.</w:t>
      </w:r>
    </w:p>
    <w:p>
      <w:pPr>
        <w:pStyle w:val="ListNumber"/>
        <w:numPr>
          <w:ilvl w:val="0"/>
          <w:numId w:val="13"/>
        </w:numPr>
      </w:pPr>
      <w:r>
        <w:t>Confirm that the three analytics views appear under the target database’s Views folder in SSMS after migration; refresh the folder if needed.</w:t>
      </w:r>
    </w:p>
    <w:p>
      <w:pPr>
        <w:ind w:left="360" w:hanging="360"/>
      </w:pPr>
      <w:r>
        <w:t>4. Confirm that DatasetGovernance, DatasetCertifications, DatasetAccessRequests, DatasetAccessGrants and DatasetAccessHistory appear under Tables, and that __EFMigrationsHistory contains 20260915090000_Task22DataGovernanceAccessPolicy.</w:t>
      </w:r>
    </w:p>
    <w:p>
      <w:pPr>
        <w:ind w:left="360" w:hanging="360"/>
      </w:pPr>
      <w:r>
        <w:t>5. Review SQL execution plans and report/export memory and latency against expected volumes before deployment.</w:t>
      </w:r>
    </w:p>
    <w:p>
      <w:pPr>
        <w:pStyle w:val="Heading1"/>
        <w:keepNext/>
      </w:pPr>
      <w:r>
        <w:t>Testing and recorded verification</w:t>
      </w:r>
    </w:p>
    <w:p>
      <w:pPr>
        <w:pStyle w:val="Heading2"/>
        <w:keepNext/>
      </w:pPr>
      <w:r>
        <w:t>Coverage and supplied test assets</w:t>
      </w:r>
    </w:p>
    <w:p>
      <w:pPr>
        <w:pStyle w:val="ListBullet"/>
        <w:numPr>
          <w:ilvl w:val="0"/>
          <w:numId w:val="10"/>
        </w:numPr>
      </w:pPr>
      <w:r>
        <w:t>Platform regression checks cover authentication, workspaces, users, datasets, search/filtering, versioning, authorization and audit logs.</w:t>
      </w:r>
    </w:p>
    <w:p>
      <w:pPr>
        <w:pStyle w:val="ListBullet"/>
        <w:numPr>
          <w:ilvl w:val="0"/>
          <w:numId w:val="10"/>
        </w:numPr>
      </w:pPr>
      <w:r>
        <w:t>Ingestion coverage: the original guide documents 13 xUnit cases, including CSV/XLSX acceptance, unsupported/empty/oversized files, Created-to-start transition rules, Completed versus Completed With Errors, endpoint permission attributes and workspace filters. This historical module count is not additive to the overall run total below.</w:t>
      </w:r>
    </w:p>
    <w:p>
      <w:pPr>
        <w:pStyle w:val="ListBullet"/>
        <w:numPr>
          <w:ilvl w:val="0"/>
          <w:numId w:val="10"/>
        </w:numPr>
      </w:pPr>
      <w:r>
        <w:t>Quality coverage: percentage/scoring formulas, case-insensitive uniqueness, validation rules, thresholds, permission attributes, workspace isolation and profile status transitions.</w:t>
      </w:r>
    </w:p>
    <w:p>
      <w:pPr>
        <w:pStyle w:val="ListBullet"/>
        <w:numPr>
          <w:ilvl w:val="0"/>
          <w:numId w:val="10"/>
        </w:numPr>
      </w:pPr>
      <w:r>
        <w:t>AnalyticsModuleTests: calculations, empty metrics, missing scores, dates, limits, paging, sorting, scope isolation, seeded role matrix, optional cache scoping, CSV escaping/formula safety, all five report formats and Open XML package validation.</w:t>
      </w:r>
    </w:p>
    <w:p>
      <w:pPr>
        <w:pStyle w:val="ListBullet"/>
        <w:numPr>
          <w:ilvl w:val="0"/>
          <w:numId w:val="10"/>
        </w:numPr>
      </w:pPr>
      <w:r>
        <w:t>AnalyticsApiTests: real HTTP/Kestrel controller/model-binding/authorization tests with a test-only authentication scheme and in-memory view fixtures. Tests verify 401/403 envelopes, all role export defaults, forbidden workspaces, validation, empty reports, audits, Swagger and legacy response compatibility.</w:t>
      </w:r>
    </w:p>
    <w:p>
      <w:pPr>
        <w:pStyle w:val="ListBullet"/>
        <w:numPr>
          <w:ilvl w:val="0"/>
          <w:numId w:val="10"/>
        </w:numPr>
      </w:pPr>
      <w:r>
        <w:t>SQL query translation tests use the SQL Server provider to generate actual aggregation/trend SQL without a database.</w:t>
      </w:r>
    </w:p>
    <w:p>
      <w:pPr>
        <w:pStyle w:val="ListBullet"/>
        <w:numPr>
          <w:ilvl w:val="0"/>
          <w:numId w:val="10"/>
        </w:numPr>
      </w:pPr>
      <w:r>
        <w:t>Migration tests verify the snapshot matches the model and the idempotent upgrade script creates only analytics objects.</w:t>
      </w:r>
    </w:p>
    <w:p>
      <w:pPr>
        <w:pStyle w:val="ListBullet"/>
      </w:pPr>
      <w:r>
        <w:t>GovernanceModuleTests cover Internal workspace access, protected-classification denial, grant hierarchy, owner implicit Manage access, cross-workspace non-disclosure and access-level ranking. Application and test sources compiled successfully through the .NET 8 compiler, and all eight governance checks passed.</w:t>
      </w:r>
    </w:p>
    <w:p>
      <w:pPr>
        <w:pStyle w:val="ListBullet"/>
        <w:numPr>
          <w:ilvl w:val="0"/>
          <w:numId w:val="10"/>
        </w:numPr>
      </w:pPr>
      <w:r>
        <w:t>AnalyticsSqlServerTests: real SQL view selection, latest-profile weighting, soft deletes, stored thresholds, attention reasons, actual trend buckets/partial ranges, all report queries and repeatable SQL upgrade.</w:t>
      </w:r>
    </w:p>
    <w:p>
      <w:pPr/>
      <w:r>
        <w:t>The ingestion Postman collection contains eight core requests: upload, create, start, details, history, errors, cancel and schema lookup. Test the key-column PUT endpoint separately through Swagger or another REST client.</w:t>
      </w:r>
    </w:p>
    <w:p>
      <w:pPr/>
      <w:r>
        <w:t>The analytics and reporting Postman collection contains 60 requests for authentication, analytics, reports, CSV/XLSX exports and negative checks. Set baseUrl/accessToken or use the login request; viewerToken/nonAdminToken checks skip when optional tokens are unset. Use a different existing workspace ID for cross-workspace-denial checks.</w:t>
      </w:r>
    </w:p>
    <w:p>
      <w:pPr/>
      <w:r>
        <w:t>The governance Postman collection covers metadata, classification, owner/steward assignment, certification, access requests, review, revocation, history, search, dashboard, validation and self-approval denial. Use separate requester and reviewer tokens for the approval workflow.</w:t>
      </w:r>
    </w:p>
    <w:p>
      <w:pPr/>
      <w:r>
        <w:t>The supplied quality sample workbook contains GoodQuality, MissingValues, DuplicateRecords, InvalidValues, and MixedQuality sheets. Use GoodQuality as the first Full import, configure CustomerId as the key, configure the transformation and validation rules, then use the remaining sheets in later Full/Append tests.</w:t>
      </w:r>
    </w:p>
    <w:p>
      <w:pPr>
        <w:pStyle w:val="Heading2"/>
        <w:keepNext/>
      </w:pPr>
      <w:r>
        <w:t>Verification recorded on 31 August 2026</w:t>
      </w:r>
    </w:p>
    <w:p>
      <w:pPr/>
      <w:r>
        <w:t>The supplied verification record is based on project commit d033b83 and .NET SDK 8.0.413. Release build succeeded with warnings treated as errors. The xUnit run discovered 99 tests: 96 passed, 0 failed and 3 were skipped, including existing and new analytics/reporting tests.</w:t>
      </w:r>
    </w:p>
    <w:p>
      <w:pPr>
        <w:pStyle w:val="ListBullet"/>
        <w:numPr>
          <w:ilvl w:val="0"/>
          <w:numId w:val="10"/>
        </w:numPr>
      </w:pPr>
      <w:r>
        <w:t>HTTP/Kestrel tests ran with test authentication and in-memory fixtures. SQL Server provider translation checks generated aggregation/distribution/issue/workspace/trend SQL but did not execute it against SQL Server.</w:t>
      </w:r>
    </w:p>
    <w:p>
      <w:pPr>
        <w:pStyle w:val="ListBullet"/>
        <w:numPr>
          <w:ilvl w:val="0"/>
          <w:numId w:val="10"/>
        </w:numPr>
      </w:pPr>
      <w:r>
        <w:t>Migration model/snapshot consistency and idempotent script generation passed. All five CSV/Excel report formats were tested, and generated workbooks passed Open XML validation.</w:t>
      </w:r>
    </w:p>
    <w:p>
      <w:pPr>
        <w:pStyle w:val="ListBullet"/>
        <w:numPr>
          <w:ilvl w:val="0"/>
          <w:numId w:val="10"/>
        </w:numPr>
      </w:pPr>
      <w:r>
        <w:t>Postman JSON parsed successfully and all 66 JavaScript scripts were syntax-checked. The consolidated SQL matched the embedded analytics upgrade resource. git diff --check found no whitespace errors.</w:t>
      </w:r>
    </w:p>
    <w:p>
      <w:pPr/>
      <w:r>
        <w:t>The sandbox’s normal dotnet test launcher failed during process-metadata inspection. Tests were executed using the official xUnit in-process assembly runner against the Release assembly; its temporary runner and downloaded SDK were not included in the source package.</w:t>
      </w:r>
    </w:p>
    <w:p>
      <w:pPr>
        <w:pStyle w:val="Heading2"/>
        <w:keepNext/>
      </w:pPr>
      <w:r>
        <w:t>Outstanding validation and release status</w:t>
      </w:r>
    </w:p>
    <w:p>
      <w:pPr/>
      <w:r>
        <w:t>The three real SQL Server integration tests were skipped because no test connection was configured; they are not passes. The updated GitHub Actions workflow provisions a disposable SQL Server 2022 service, but that workflow had not been run in the recorded session.</w:t>
      </w:r>
    </w:p>
    <w:p>
      <w:pPr/>
      <w:r>
        <w:t>Each SQL fixture creates a uniquely named disposable test database and removes only that database, never the database named in the connection string. Without the configured SQL Server test connection variable the tests skip explicitly. Execute this suite and the rollout checks above before production: SQL translation and in-memory tests do not establish actual execution plans or throughput.</w:t>
      </w:r>
    </w:p>
    <w:p>
      <w:pPr/>
      <w:r>
        <w:t>The 31 August verification record predates the lineage and governance releases. The Task 22 migration has subsequently been applied to the local development database; each deployment target must still run its own migration, authorization, Postman and performance checks. No production deployment status is asserted by this document.</w:t>
      </w:r>
    </w:p>
    <w:p>
      <w:pPr>
        <w:pStyle w:val="Heading1"/>
        <w:keepNext/>
      </w:pPr>
      <w:r>
        <w:t>Production-readiness limitations</w:t>
      </w:r>
    </w:p>
    <w:p>
      <w:pPr>
        <w:pStyle w:val="ListBullet"/>
        <w:numPr>
          <w:ilvl w:val="0"/>
          <w:numId w:val="10"/>
        </w:numPr>
      </w:pPr>
      <w:r>
        <w:t>Shared queue durability: the current queue is process-local. Restarts can lose queued job messages, although queued profile rows remain in SQL Server. A durable queue or database-backed dispatcher is needed for reliable restart recovery.</w:t>
      </w:r>
    </w:p>
    <w:p>
      <w:pPr>
        <w:pStyle w:val="ListBullet"/>
        <w:numPr>
          <w:ilvl w:val="0"/>
          <w:numId w:val="10"/>
        </w:numPr>
      </w:pPr>
      <w:r>
        <w:t>The implementation enforces 25 MB directly in the request attribute and ImportRules. Bind the Ingestion options so MaxFileSizeMb becomes the single source of truth.</w:t>
      </w:r>
    </w:p>
    <w:p>
      <w:pPr>
        <w:pStyle w:val="ListBullet"/>
        <w:numPr>
          <w:ilvl w:val="0"/>
          <w:numId w:val="10"/>
        </w:numPr>
      </w:pPr>
      <w:r>
        <w:t>DetailedErrorLimit is configured, but the current processor stores all detected errors. Enforce the limit and retain aggregate counts for very large files.</w:t>
      </w:r>
    </w:p>
    <w:p>
      <w:pPr>
        <w:pStyle w:val="ListBullet"/>
        <w:numPr>
          <w:ilvl w:val="0"/>
          <w:numId w:val="10"/>
        </w:numPr>
      </w:pPr>
      <w:r>
        <w:t>The processor materializes parsed rows and staging entities in memory. Introduce streaming and batched database writes for larger scale.</w:t>
      </w:r>
    </w:p>
    <w:p>
      <w:pPr>
        <w:pStyle w:val="ListBullet"/>
        <w:numPr>
          <w:ilvl w:val="0"/>
          <w:numId w:val="10"/>
        </w:numPr>
      </w:pPr>
      <w:r>
        <w:t>Define upload retention, cleanup, malware scanning, content-type verification and storage encryption policies.</w:t>
      </w:r>
    </w:p>
    <w:p>
      <w:pPr>
        <w:pStyle w:val="ListBullet"/>
        <w:numPr>
          <w:ilvl w:val="0"/>
          <w:numId w:val="10"/>
        </w:numPr>
      </w:pPr>
      <w:r>
        <w:t>Schema evolution is intentionally out of scope; later imports must match the established columns exactly.</w:t>
      </w:r>
    </w:p>
    <w:p>
      <w:pPr>
        <w:pStyle w:val="ListBullet"/>
        <w:numPr>
          <w:ilvl w:val="0"/>
          <w:numId w:val="10"/>
        </w:numPr>
      </w:pPr>
      <w:r>
        <w:t>Add integration tests for corrupt workbooks, transactional rollback, duplicate behavior against existing records, concurrent starts and cancellation during processing.</w:t>
      </w:r>
    </w:p>
    <w:p>
      <w:pPr/>
      <w:r>
        <w:t>The ingestion caveats above are carried forward from the original module guide and are not new analytics fixes. Analytics-specific limitations—known-processed lower bounds, current metadata for historical filters, omitted trend buckets, stored threshold snapshots, bounded exports and live read-committed reporting—are documented next to their applicable contracts rather than repeated here.</w:t>
      </w:r>
    </w:p>
    <w:p>
      <w:pPr>
        <w:pStyle w:val="Heading1"/>
        <w:keepNext/>
      </w:pPr>
      <w:r>
        <w:t>Sources and supporting references</w:t>
      </w:r>
    </w:p>
    <w:p>
      <w:pPr/>
      <w:r>
        <w:t>Consolidated sources include the platform technical documentation, data-lineage analysis and verification material, and Data-Governance-Access-Policy.md. Shared architecture, security, database, testing and rollout information is stated once; module-specific API and behavior details are retained. Supporting project locations are Docs, Postman, SQL, Migrations and Samples.</w:t>
      </w:r>
    </w:p>
    <w:p>
      <w:pPr>
        <w:pStyle w:val="ListBullet"/>
        <w:numPr>
          <w:ilvl w:val="0"/>
          <w:numId w:val="10"/>
        </w:numPr>
      </w:pPr>
      <w:hyperlink r:id="rId11">
        <w:r>
          <w:rPr>
            <w:color w:val="2E74B5"/>
          </w:rPr>
          <w:t>EF Core efficient querying</w:t>
        </w:r>
      </w:hyperlink>
    </w:p>
    <w:p>
      <w:pPr>
        <w:pStyle w:val="ListBullet"/>
        <w:numPr>
          <w:ilvl w:val="0"/>
          <w:numId w:val="10"/>
        </w:numPr>
      </w:pPr>
      <w:hyperlink r:id="rId12">
        <w:r>
          <w:rPr>
            <w:color w:val="2E74B5"/>
          </w:rPr>
          <w:t>EF Core complex query operators</w:t>
        </w:r>
      </w:hyperlink>
    </w:p>
    <w:p>
      <w:pPr>
        <w:pStyle w:val="ListBullet"/>
        <w:numPr>
          <w:ilvl w:val="0"/>
          <w:numId w:val="10"/>
        </w:numPr>
      </w:pPr>
      <w:hyperlink r:id="rId13">
        <w:r>
          <w:rPr>
            <w:color w:val="2E74B5"/>
          </w:rPr>
          <w:t>Open XML inline strings</w:t>
        </w:r>
      </w:hyperlink>
    </w:p>
    <w:p>
      <w:pPr>
        <w:pStyle w:val="ListBullet"/>
        <w:numPr>
          <w:ilvl w:val="0"/>
          <w:numId w:val="10"/>
        </w:numPr>
      </w:pPr>
      <w:hyperlink r:id="rId14">
        <w:r>
          <w:rPr>
            <w:color w:val="2E74B5"/>
          </w:rPr>
          <w:t>SQL Server Linux container deployment</w:t>
        </w:r>
      </w:hyperlink>
    </w:p>
    <w:sectPr w:rsidR="00FC693F" w:rsidRPr="0006063C" w:rsidSect="00034616">
      <w:headerReference w:type="default" r:id="rId9"/>
      <w:footerReference w:type="default" r:id="rId10"/>
      <w:headerReference w:type="first" r:id="rId15"/>
      <w:footerReference w:type="first" r:id="rId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EDIP  |  Consolidated technical documentation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suff w:val="tab"/>
      <w:pPr>
        <w:tabs>
          <w:tab w:val="num" w:pos="540"/>
        </w:tabs>
        <w:ind w:left="540" w:hanging="271"/>
        <w:spacing w:before="0" w:after="80" w:line="300" w:lineRule="auto"/>
      </w:pPr>
    </w:lvl>
  </w:abstractNum>
  <w:num w:numId="10">
    <w:abstractNumId w:val="9"/>
  </w:num>
  <w:abstractNum w:abstractNumId="10">
    <w:multiLevelType w:val="singleLevel"/>
    <w:lvl w:ilvl="0">
      <w:start w:val="1"/>
      <w:numFmt w:val="decimal"/>
      <w:lvlText w:val="%1."/>
      <w:lvlJc w:val="left"/>
      <w:suff w:val="tab"/>
      <w:pPr>
        <w:tabs>
          <w:tab w:val="num" w:pos="540"/>
        </w:tabs>
        <w:ind w:left="540" w:hanging="271"/>
        <w:spacing w:before="0" w:after="80" w:line="300" w:lineRule="auto"/>
      </w:pPr>
    </w:lvl>
  </w:abstractNum>
  <w:num w:numId="11">
    <w:abstractNumId w:val="10"/>
  </w:num>
  <w:abstractNum w:abstractNumId="11">
    <w:multiLevelType w:val="singleLevel"/>
    <w:lvl w:ilvl="0">
      <w:start w:val="1"/>
      <w:numFmt w:val="decimal"/>
      <w:lvlText w:val="%1."/>
      <w:lvlJc w:val="left"/>
      <w:suff w:val="tab"/>
      <w:pPr>
        <w:tabs>
          <w:tab w:val="num" w:pos="540"/>
        </w:tabs>
        <w:ind w:left="540" w:hanging="271"/>
        <w:spacing w:before="0" w:after="80" w:line="300" w:lineRule="auto"/>
      </w:pPr>
    </w:lvl>
  </w:abstractNum>
  <w:num w:numId="12">
    <w:abstractNumId w:val="11"/>
  </w:num>
  <w:abstractNum w:abstractNumId="12">
    <w:multiLevelType w:val="singleLevel"/>
    <w:lvl w:ilvl="0">
      <w:start w:val="1"/>
      <w:numFmt w:val="decimal"/>
      <w:lvlText w:val="%1."/>
      <w:lvlJc w:val="left"/>
      <w:suff w:val="tab"/>
      <w:pPr>
        <w:tabs>
          <w:tab w:val="num" w:pos="540"/>
        </w:tabs>
        <w:ind w:left="540" w:hanging="271"/>
        <w:spacing w:before="0" w:after="80" w:line="30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left"/>
    </w:pPr>
    <w:rPr>
      <w:rFonts w:ascii="Calibri" w:hAnsi="Calibri"/>
      <w:b w:val="0"/>
      <w:i w:val="0"/>
      <w:color w:val="202B36"/>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jc w:val="left"/>
    </w:pPr>
    <w:rPr>
      <w:rFonts w:ascii="Calibri" w:hAnsi="Calibri"/>
      <w:b w:val="0"/>
      <w:i w:val="0"/>
      <w:color w:val="536577"/>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jc w:val="left"/>
    </w:pPr>
    <w:rPr>
      <w:rFonts w:ascii="Calibri" w:hAnsi="Calibri"/>
      <w:b w:val="0"/>
      <w:i w:val="0"/>
      <w:color w:val="536577"/>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jc w:val="left"/>
      <w:outlineLvl w:val="0"/>
    </w:pPr>
    <w:rPr>
      <w:rFonts w:asciiTheme="majorHAnsi" w:eastAsiaTheme="majorEastAsia" w:hAnsiTheme="majorHAnsi" w:cstheme="majorBidi" w:ascii="Calibri" w:hAnsi="Calibr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jc w:val="left"/>
      <w:outlineLvl w:val="1"/>
    </w:pPr>
    <w:rPr>
      <w:rFonts w:asciiTheme="majorHAnsi" w:eastAsiaTheme="majorEastAsia" w:hAnsiTheme="majorHAnsi" w:cstheme="majorBidi" w:ascii="Calibri" w:hAnsi="Calibri"/>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jc w:val="left"/>
      <w:outlineLvl w:val="2"/>
    </w:pPr>
    <w:rPr>
      <w:rFonts w:asciiTheme="majorHAnsi" w:eastAsiaTheme="majorEastAsia" w:hAnsiTheme="majorHAnsi" w:cstheme="majorBidi" w:ascii="Calibri" w:hAnsi="Calibri"/>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64" w:lineRule="auto" w:before="0"/>
      <w:contextualSpacing/>
      <w:jc w:val="left"/>
    </w:pPr>
    <w:rPr>
      <w:rFonts w:asciiTheme="majorHAnsi" w:eastAsiaTheme="majorEastAsia" w:hAnsiTheme="majorHAnsi" w:cstheme="majorBidi" w:ascii="Calibri" w:hAnsi="Calibri"/>
      <w:b/>
      <w:i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76" w:lineRule="auto"/>
      <w:jc w:val="left"/>
    </w:pPr>
    <w:rPr>
      <w:rFonts w:asciiTheme="majorHAnsi" w:eastAsiaTheme="majorEastAsia" w:hAnsiTheme="majorHAnsi" w:cstheme="majorBidi" w:ascii="Calibri" w:hAnsi="Calibri"/>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contextualSpacing/>
      <w:jc w:val="left"/>
    </w:pPr>
    <w:rPr>
      <w:rFonts w:ascii="Calibri" w:hAnsi="Calibri"/>
      <w:b w:val="0"/>
      <w:i w:val="0"/>
      <w:color w:val="202B3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contextualSpacing/>
      <w:jc w:val="left"/>
    </w:pPr>
    <w:rPr>
      <w:rFonts w:ascii="Calibri" w:hAnsi="Calibri"/>
      <w:b w:val="0"/>
      <w:i w:val="0"/>
      <w:color w:val="202B3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chnicalTable">
    <w:name w:val="Technical Table"/>
    <w:pPr>
      <w:widowControl/>
      <w:spacing w:before="0" w:after="60" w:line="264" w:lineRule="auto"/>
      <w:jc w:val="left"/>
    </w:pPr>
    <w:rPr>
      <w:rFonts w:ascii="Calibri" w:hAnsi="Calibri"/>
      <w:b w:val="0"/>
      <w:i w:val="0"/>
      <w:color w:val="202B36"/>
      <w:sz w:val="19"/>
    </w:rPr>
  </w:style>
  <w:style w:type="paragraph" w:customStyle="1" w:styleId="TechnicalCode">
    <w:name w:val="Technical Code"/>
    <w:pPr>
      <w:widowControl/>
      <w:spacing w:before="60" w:after="100" w:line="252" w:lineRule="auto"/>
      <w:jc w:val="left"/>
    </w:pPr>
    <w:rPr>
      <w:rFonts w:ascii="DejaVu Sans Mono" w:hAnsi="DejaVu Sans Mono"/>
      <w:b w:val="0"/>
      <w:i w:val="0"/>
      <w:color w:val="202B36"/>
      <w:sz w:val="18"/>
    </w:rPr>
  </w:style>
  <w:style w:type="paragraph" w:customStyle="1" w:styleId="SourceNote">
    <w:name w:val="Source Note"/>
    <w:pPr>
      <w:widowControl/>
      <w:spacing w:before="80" w:after="80" w:line="264" w:lineRule="auto"/>
      <w:jc w:val="left"/>
    </w:pPr>
    <w:rPr>
      <w:rFonts w:ascii="Calibri" w:hAnsi="Calibri"/>
      <w:b w:val="0"/>
      <w:i w:val="0"/>
      <w:color w:val="53657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ef/core/performance/efficient-querying" TargetMode="External"/><Relationship Id="rId12" Type="http://schemas.openxmlformats.org/officeDocument/2006/relationships/hyperlink" Target="https://learn.microsoft.com/en-us/ef/core/querying/complex-query-operators" TargetMode="External"/><Relationship Id="rId13" Type="http://schemas.openxmlformats.org/officeDocument/2006/relationships/hyperlink" Target="https://learn.microsoft.com/en-us/dotnet/api/documentformat.openxml.spreadsheet.inlinestring" TargetMode="External"/><Relationship Id="rId14" Type="http://schemas.openxmlformats.org/officeDocument/2006/relationships/hyperlink" Target="https://learn.microsoft.com/en-us/sql/linux/containers/deploy" TargetMode="External"/><Relationship Id="rId15" Type="http://schemas.openxmlformats.org/officeDocument/2006/relationships/header" Target="header2.xml"/><Relationship Id="rId1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Data Intelligence Platform - Consolidated Technical Documentation</dc:title>
  <dc:subject>Platform, ingestion, quality profiling, analytics and reporting</dc:subject>
  <dc:creator/>
  <cp:keywords>EDIP, analytics, reporting, ingestion, data quality, data lineage, impact analysis</cp:keywords>
  <dc:description/>
  <cp:lastModifiedBy/>
  <cp:revision>1</cp:revision>
  <dcterms:created xsi:type="dcterms:W3CDTF">2013-12-23T23:15:00Z</dcterms:created>
  <dcterms:modified xsi:type="dcterms:W3CDTF">2013-12-23T23:15:00Z</dcterms:modified>
  <cp:category/>
</cp:coreProperties>
</file>