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D6A05D">
      <w:pPr>
        <w:pStyle w:val="36"/>
      </w:pPr>
      <w:r>
        <w:t>Enterprise Data Intelligence Platform</w:t>
      </w:r>
    </w:p>
    <w:p w14:paraId="68C10279">
      <w:pPr>
        <w:pStyle w:val="2"/>
      </w:pPr>
      <w:r>
        <w:t>Technical Documentation</w:t>
      </w:r>
      <w:r>
        <w:rPr>
          <w:rFonts w:hint="default"/>
          <w:lang w:val="en-GB"/>
        </w:rPr>
        <w:t xml:space="preserve"> for </w:t>
      </w:r>
      <w:bookmarkStart w:id="0" w:name="_GoBack"/>
      <w:bookmarkEnd w:id="0"/>
      <w:r>
        <w:t>Enterprise Data Intelligence Platform</w:t>
      </w:r>
    </w:p>
    <w:p w14:paraId="238CB8F5">
      <w:pPr>
        <w:pStyle w:val="3"/>
      </w:pPr>
      <w:r>
        <w:t>Overview</w:t>
      </w:r>
    </w:p>
    <w:p w14:paraId="17398F48">
      <w:r>
        <w:t>Enterprise Data Intelligence Platform (EDIP) is a .NET 8 Web API</w:t>
      </w:r>
    </w:p>
    <w:p w14:paraId="16C55B14">
      <w:r>
        <w:t>designed to provide a secure, scalable and centralized platform for</w:t>
      </w:r>
    </w:p>
    <w:p w14:paraId="5EE38BE0">
      <w:r>
        <w:t>managing workspaces, users, authentication, datasets and metadata. The</w:t>
      </w:r>
    </w:p>
    <w:p w14:paraId="57A6B9E3">
      <w:r>
        <w:t>platform follows a layered architecture using ASP.NET Core, Entity</w:t>
      </w:r>
    </w:p>
    <w:p w14:paraId="301950EB">
      <w:r>
        <w:t>Framework Core and SQL Server. It supports Role-Based Access Control</w:t>
      </w:r>
    </w:p>
    <w:p w14:paraId="5A6D6068">
      <w:r>
        <w:t>(RBAC), workspace isolation, audit logging and dataset catalog</w:t>
      </w:r>
    </w:p>
    <w:p w14:paraId="64F917A1">
      <w:r>
        <w:t>management.</w:t>
      </w:r>
    </w:p>
    <w:p w14:paraId="36FE5AA3">
      <w:r>
        <w:t>------------------------------------------------------------------------</w:t>
      </w:r>
    </w:p>
    <w:p w14:paraId="1FCAAFE3">
      <w:pPr>
        <w:pStyle w:val="2"/>
      </w:pPr>
      <w:r>
        <w:t>Key Features</w:t>
      </w:r>
    </w:p>
    <w:p w14:paraId="09B639F1">
      <w:pPr>
        <w:pStyle w:val="3"/>
      </w:pPr>
      <w:r>
        <w:t>Authentication &amp; Security</w:t>
      </w:r>
    </w:p>
    <w:p w14:paraId="250BC7F2">
      <w:r>
        <w:t>The platform provides enterprise-grade authentication and authorization.</w:t>
      </w:r>
    </w:p>
    <w:p w14:paraId="1D7EC202">
      <w:r>
        <w:t>Features include:</w:t>
      </w:r>
    </w:p>
    <w:p w14:paraId="2A929687">
      <w:pPr>
        <w:pStyle w:val="23"/>
      </w:pPr>
      <w:r>
        <w:t xml:space="preserve">  JWT Access Token Authentication</w:t>
      </w:r>
    </w:p>
    <w:p w14:paraId="2C277ECA">
      <w:pPr>
        <w:pStyle w:val="23"/>
      </w:pPr>
      <w:r>
        <w:t xml:space="preserve">  Refresh Token Rotation</w:t>
      </w:r>
    </w:p>
    <w:p w14:paraId="6E142E75">
      <w:pPr>
        <w:pStyle w:val="23"/>
      </w:pPr>
      <w:r>
        <w:t xml:space="preserve">  Secure Login &amp; Logout</w:t>
      </w:r>
    </w:p>
    <w:p w14:paraId="3FE5BA42">
      <w:pPr>
        <w:pStyle w:val="23"/>
      </w:pPr>
      <w:r>
        <w:t xml:space="preserve">  Forgot Password / Reset Password</w:t>
      </w:r>
    </w:p>
    <w:p w14:paraId="4B931D51">
      <w:pPr>
        <w:pStyle w:val="23"/>
      </w:pPr>
      <w:r>
        <w:t xml:space="preserve">  Change Password</w:t>
      </w:r>
    </w:p>
    <w:p w14:paraId="79E025A3">
      <w:pPr>
        <w:pStyle w:val="23"/>
      </w:pPr>
      <w:r>
        <w:t xml:space="preserve">  Token Revocation</w:t>
      </w:r>
    </w:p>
    <w:p w14:paraId="53104BB4">
      <w:pPr>
        <w:pStyle w:val="23"/>
      </w:pPr>
      <w:r>
        <w:t xml:space="preserve">  Security Stamp Validation</w:t>
      </w:r>
    </w:p>
    <w:p w14:paraId="7447ED09">
      <w:pPr>
        <w:pStyle w:val="23"/>
      </w:pPr>
      <w:r>
        <w:t xml:space="preserve">  Session Revocation</w:t>
      </w:r>
    </w:p>
    <w:p w14:paraId="68BB8747">
      <w:r>
        <w:t>------------------------------------------------------------------------</w:t>
      </w:r>
    </w:p>
    <w:p w14:paraId="2772E028">
      <w:pPr>
        <w:pStyle w:val="3"/>
      </w:pPr>
      <w:r>
        <w:t>Workspace Management</w:t>
      </w:r>
    </w:p>
    <w:p w14:paraId="6401DCCD">
      <w:r>
        <w:t>Each customer or organization works inside an isolated workspace.</w:t>
      </w:r>
    </w:p>
    <w:p w14:paraId="1462496C">
      <w:r>
        <w:t>Capabilities:</w:t>
      </w:r>
    </w:p>
    <w:p w14:paraId="6DBE437E">
      <w:pPr>
        <w:pStyle w:val="23"/>
      </w:pPr>
      <w:r>
        <w:t xml:space="preserve">  Create Workspace</w:t>
      </w:r>
    </w:p>
    <w:p w14:paraId="312B638C">
      <w:pPr>
        <w:pStyle w:val="23"/>
      </w:pPr>
      <w:r>
        <w:t xml:space="preserve">  Update Workspace</w:t>
      </w:r>
    </w:p>
    <w:p w14:paraId="65589730">
      <w:pPr>
        <w:pStyle w:val="23"/>
      </w:pPr>
      <w:r>
        <w:t xml:space="preserve">  Activate Workspace</w:t>
      </w:r>
    </w:p>
    <w:p w14:paraId="040E3CBC">
      <w:pPr>
        <w:pStyle w:val="23"/>
      </w:pPr>
      <w:r>
        <w:t xml:space="preserve">  Deactivate Workspace</w:t>
      </w:r>
    </w:p>
    <w:p w14:paraId="43A28001">
      <w:pPr>
        <w:pStyle w:val="23"/>
      </w:pPr>
      <w:r>
        <w:t xml:space="preserve">  Workspace Isolation</w:t>
      </w:r>
    </w:p>
    <w:p w14:paraId="3949AF5D">
      <w:pPr>
        <w:pStyle w:val="23"/>
      </w:pPr>
      <w:r>
        <w:t xml:space="preserve">  Cross-workspace protection</w:t>
      </w:r>
    </w:p>
    <w:p w14:paraId="18FEF15D">
      <w:r>
        <w:t>Only authorized users can manage workspace information.</w:t>
      </w:r>
    </w:p>
    <w:p w14:paraId="71363535">
      <w:r>
        <w:t>------------------------------------------------------------------------</w:t>
      </w:r>
    </w:p>
    <w:p w14:paraId="25991D86">
      <w:pPr>
        <w:pStyle w:val="3"/>
      </w:pPr>
      <w:r>
        <w:t>User &amp; Role Management</w:t>
      </w:r>
    </w:p>
    <w:p w14:paraId="477BF289">
      <w:r>
        <w:t>The system allows administrators to manage platform users securely.</w:t>
      </w:r>
    </w:p>
    <w:p w14:paraId="32796171">
      <w:r>
        <w:t>Supported features:</w:t>
      </w:r>
    </w:p>
    <w:p w14:paraId="3904A1AA">
      <w:pPr>
        <w:pStyle w:val="23"/>
      </w:pPr>
      <w:r>
        <w:t xml:space="preserve">  Register Users</w:t>
      </w:r>
    </w:p>
    <w:p w14:paraId="02325806">
      <w:pPr>
        <w:pStyle w:val="23"/>
      </w:pPr>
      <w:r>
        <w:t xml:space="preserve">  Activate / Deactivate Users</w:t>
      </w:r>
    </w:p>
    <w:p w14:paraId="00951383">
      <w:pPr>
        <w:pStyle w:val="23"/>
      </w:pPr>
      <w:r>
        <w:t xml:space="preserve">  Assign Roles</w:t>
      </w:r>
    </w:p>
    <w:p w14:paraId="2988B524">
      <w:pPr>
        <w:pStyle w:val="23"/>
      </w:pPr>
      <w:r>
        <w:t xml:space="preserve">  Assign Permissions</w:t>
      </w:r>
    </w:p>
    <w:p w14:paraId="423E546F">
      <w:pPr>
        <w:pStyle w:val="23"/>
      </w:pPr>
      <w:r>
        <w:t xml:space="preserve">  User Search</w:t>
      </w:r>
    </w:p>
    <w:p w14:paraId="5F632BF8">
      <w:pPr>
        <w:pStyle w:val="23"/>
      </w:pPr>
      <w:r>
        <w:t xml:space="preserve">  Filtering</w:t>
      </w:r>
    </w:p>
    <w:p w14:paraId="0271D5E4">
      <w:pPr>
        <w:pStyle w:val="23"/>
      </w:pPr>
      <w:r>
        <w:t xml:space="preserve">  Pagination</w:t>
      </w:r>
    </w:p>
    <w:p w14:paraId="44FB6AA2">
      <w:pPr>
        <w:pStyle w:val="4"/>
      </w:pPr>
      <w:r>
        <w:t>Predefined Roles</w:t>
      </w:r>
    </w:p>
    <w:p w14:paraId="27BA8D45">
      <w:pPr>
        <w:pStyle w:val="23"/>
      </w:pPr>
      <w:r>
        <w:t xml:space="preserve">  Platform Administrator</w:t>
      </w:r>
    </w:p>
    <w:p w14:paraId="6E22C178">
      <w:pPr>
        <w:pStyle w:val="23"/>
      </w:pPr>
      <w:r>
        <w:t xml:space="preserve">  Workspace Administrator</w:t>
      </w:r>
    </w:p>
    <w:p w14:paraId="1C632BE0">
      <w:pPr>
        <w:pStyle w:val="23"/>
      </w:pPr>
      <w:r>
        <w:t xml:space="preserve">  Data Analyst</w:t>
      </w:r>
    </w:p>
    <w:p w14:paraId="12A00CC6">
      <w:pPr>
        <w:pStyle w:val="23"/>
      </w:pPr>
      <w:r>
        <w:t xml:space="preserve">  Business User</w:t>
      </w:r>
    </w:p>
    <w:p w14:paraId="6A7F54D7">
      <w:pPr>
        <w:pStyle w:val="23"/>
      </w:pPr>
      <w:r>
        <w:t xml:space="preserve">  Viewer</w:t>
      </w:r>
    </w:p>
    <w:p w14:paraId="56A844F1">
      <w:r>
        <w:t>Each role has predefined permissions and access limitations.</w:t>
      </w:r>
    </w:p>
    <w:p w14:paraId="289B6091">
      <w:r>
        <w:t>------------------------------------------------------------------------</w:t>
      </w:r>
    </w:p>
    <w:p w14:paraId="65DB8BC2">
      <w:pPr>
        <w:pStyle w:val="3"/>
      </w:pPr>
      <w:r>
        <w:t>Dataset Management</w:t>
      </w:r>
    </w:p>
    <w:p w14:paraId="3658A20A">
      <w:r>
        <w:t>The Dataset Management module provides centralized dataset registration</w:t>
      </w:r>
    </w:p>
    <w:p w14:paraId="531505C7">
      <w:r>
        <w:t>and lifecycle management.</w:t>
      </w:r>
    </w:p>
    <w:p w14:paraId="3B0A74BE">
      <w:r>
        <w:t>Supported operations:</w:t>
      </w:r>
    </w:p>
    <w:p w14:paraId="0B6F56F3">
      <w:pPr>
        <w:pStyle w:val="23"/>
      </w:pPr>
      <w:r>
        <w:t xml:space="preserve">  Register Dataset</w:t>
      </w:r>
    </w:p>
    <w:p w14:paraId="3668933B">
      <w:pPr>
        <w:pStyle w:val="23"/>
      </w:pPr>
      <w:r>
        <w:t xml:space="preserve">  Update Dataset Metadata</w:t>
      </w:r>
    </w:p>
    <w:p w14:paraId="56B2F6A3">
      <w:pPr>
        <w:pStyle w:val="23"/>
      </w:pPr>
      <w:r>
        <w:t xml:space="preserve">  Retrieve Dataset Details</w:t>
      </w:r>
    </w:p>
    <w:p w14:paraId="39EBE30C">
      <w:pPr>
        <w:pStyle w:val="23"/>
      </w:pPr>
      <w:r>
        <w:t xml:space="preserve">  Archive Dataset</w:t>
      </w:r>
    </w:p>
    <w:p w14:paraId="797329EC">
      <w:pPr>
        <w:pStyle w:val="23"/>
      </w:pPr>
      <w:r>
        <w:t xml:space="preserve">  Restore Dataset</w:t>
      </w:r>
    </w:p>
    <w:p w14:paraId="693280A2">
      <w:pPr>
        <w:pStyle w:val="23"/>
      </w:pPr>
      <w:r>
        <w:t xml:space="preserve">  Soft Delete Dataset</w:t>
      </w:r>
    </w:p>
    <w:p w14:paraId="05BB98DF">
      <w:pPr>
        <w:pStyle w:val="23"/>
      </w:pPr>
      <w:r>
        <w:t xml:space="preserve">  Recover Soft Deleted Dataset</w:t>
      </w:r>
    </w:p>
    <w:p w14:paraId="05D568DD">
      <w:r>
        <w:t>Every dataset belongs to exactly one workspace and follows workspace</w:t>
      </w:r>
    </w:p>
    <w:p w14:paraId="18888CDB">
      <w:r>
        <w:t>security rules.</w:t>
      </w:r>
    </w:p>
    <w:p w14:paraId="79B73C94">
      <w:r>
        <w:t>------------------------------------------------------------------------</w:t>
      </w:r>
    </w:p>
    <w:p w14:paraId="2CD98A25">
      <w:pPr>
        <w:pStyle w:val="3"/>
      </w:pPr>
      <w:r>
        <w:t>Data Catalog</w:t>
      </w:r>
    </w:p>
    <w:p w14:paraId="2EE08648">
      <w:r>
        <w:t>The Data Catalog acts as a searchable inventory of datasets.</w:t>
      </w:r>
    </w:p>
    <w:p w14:paraId="1C834329">
      <w:r>
        <w:t>Metadata maintained:</w:t>
      </w:r>
    </w:p>
    <w:p w14:paraId="1022D86E">
      <w:pPr>
        <w:pStyle w:val="23"/>
      </w:pPr>
      <w:r>
        <w:t xml:space="preserve">  Dataset Name</w:t>
      </w:r>
    </w:p>
    <w:p w14:paraId="27604055">
      <w:pPr>
        <w:pStyle w:val="23"/>
      </w:pPr>
      <w:r>
        <w:t xml:space="preserve">  Description</w:t>
      </w:r>
    </w:p>
    <w:p w14:paraId="667713D7">
      <w:pPr>
        <w:pStyle w:val="23"/>
      </w:pPr>
      <w:r>
        <w:t xml:space="preserve">  Category</w:t>
      </w:r>
    </w:p>
    <w:p w14:paraId="5E004A65">
      <w:pPr>
        <w:pStyle w:val="23"/>
      </w:pPr>
      <w:r>
        <w:t xml:space="preserve">  Tags</w:t>
      </w:r>
    </w:p>
    <w:p w14:paraId="66FF5B9E">
      <w:pPr>
        <w:pStyle w:val="23"/>
      </w:pPr>
      <w:r>
        <w:t xml:space="preserve">  Owner</w:t>
      </w:r>
    </w:p>
    <w:p w14:paraId="5FEE6FBD">
      <w:pPr>
        <w:pStyle w:val="23"/>
      </w:pPr>
      <w:r>
        <w:t xml:space="preserve">  Data Source Name</w:t>
      </w:r>
    </w:p>
    <w:p w14:paraId="202E984C">
      <w:pPr>
        <w:pStyle w:val="23"/>
      </w:pPr>
      <w:r>
        <w:t xml:space="preserve">  Data Source Type</w:t>
      </w:r>
    </w:p>
    <w:p w14:paraId="5B701569">
      <w:pPr>
        <w:pStyle w:val="23"/>
      </w:pPr>
      <w:r>
        <w:t xml:space="preserve">  Created Date</w:t>
      </w:r>
    </w:p>
    <w:p w14:paraId="0DCA7BF2">
      <w:pPr>
        <w:pStyle w:val="23"/>
      </w:pPr>
      <w:r>
        <w:t xml:space="preserve">  Last Updated Date</w:t>
      </w:r>
    </w:p>
    <w:p w14:paraId="0666D77A">
      <w:pPr>
        <w:pStyle w:val="23"/>
      </w:pPr>
      <w:r>
        <w:t xml:space="preserve">  Current Version</w:t>
      </w:r>
    </w:p>
    <w:p w14:paraId="0139B4C6">
      <w:pPr>
        <w:pStyle w:val="23"/>
      </w:pPr>
      <w:r>
        <w:t xml:space="preserve">  Dataset Status</w:t>
      </w:r>
    </w:p>
    <w:p w14:paraId="28369015">
      <w:r>
        <w:t>The catalog supports:</w:t>
      </w:r>
    </w:p>
    <w:p w14:paraId="7CE02979">
      <w:pPr>
        <w:pStyle w:val="23"/>
      </w:pPr>
      <w:r>
        <w:t xml:space="preserve">  Keyword Search</w:t>
      </w:r>
    </w:p>
    <w:p w14:paraId="15F37BA2">
      <w:pPr>
        <w:pStyle w:val="23"/>
      </w:pPr>
      <w:r>
        <w:t xml:space="preserve">  Category Filter</w:t>
      </w:r>
    </w:p>
    <w:p w14:paraId="113FC3AA">
      <w:pPr>
        <w:pStyle w:val="23"/>
      </w:pPr>
      <w:r>
        <w:t xml:space="preserve">  Tag Filter</w:t>
      </w:r>
    </w:p>
    <w:p w14:paraId="09794E3D">
      <w:pPr>
        <w:pStyle w:val="23"/>
      </w:pPr>
      <w:r>
        <w:t xml:space="preserve">  Owner Filter</w:t>
      </w:r>
    </w:p>
    <w:p w14:paraId="1400FC74">
      <w:pPr>
        <w:pStyle w:val="23"/>
      </w:pPr>
      <w:r>
        <w:t xml:space="preserve">  Status Filter</w:t>
      </w:r>
    </w:p>
    <w:p w14:paraId="53403893">
      <w:pPr>
        <w:pStyle w:val="23"/>
      </w:pPr>
      <w:r>
        <w:t xml:space="preserve">  Pagination</w:t>
      </w:r>
    </w:p>
    <w:p w14:paraId="4491F8DB">
      <w:pPr>
        <w:pStyle w:val="23"/>
      </w:pPr>
      <w:r>
        <w:t xml:space="preserve">  Sorting</w:t>
      </w:r>
    </w:p>
    <w:p w14:paraId="61E54E54">
      <w:r>
        <w:t>------------------------------------------------------------------------</w:t>
      </w:r>
    </w:p>
    <w:p w14:paraId="7080530A">
      <w:pPr>
        <w:pStyle w:val="3"/>
      </w:pPr>
      <w:r>
        <w:t>Dataset Versioning</w:t>
      </w:r>
    </w:p>
    <w:p w14:paraId="5F0DA586">
      <w:r>
        <w:t>Every metadata modification automatically creates a new version.</w:t>
      </w:r>
    </w:p>
    <w:p w14:paraId="626E323F">
      <w:r>
        <w:t>Capabilities:</w:t>
      </w:r>
    </w:p>
    <w:p w14:paraId="031915B5">
      <w:pPr>
        <w:pStyle w:val="23"/>
      </w:pPr>
      <w:r>
        <w:t xml:space="preserve">  Version History</w:t>
      </w:r>
    </w:p>
    <w:p w14:paraId="6FC0F31B">
      <w:pPr>
        <w:pStyle w:val="23"/>
      </w:pPr>
      <w:r>
        <w:t xml:space="preserve">  Version Notes</w:t>
      </w:r>
    </w:p>
    <w:p w14:paraId="407885F6">
      <w:pPr>
        <w:pStyle w:val="23"/>
      </w:pPr>
      <w:r>
        <w:t xml:space="preserve">  Current Version Identification</w:t>
      </w:r>
    </w:p>
    <w:p w14:paraId="4C81E22E">
      <w:pPr>
        <w:pStyle w:val="23"/>
      </w:pPr>
      <w:r>
        <w:t xml:space="preserve">  Restore Previous Version</w:t>
      </w:r>
    </w:p>
    <w:p w14:paraId="56BDCC67">
      <w:pPr>
        <w:pStyle w:val="23"/>
      </w:pPr>
      <w:r>
        <w:t xml:space="preserve">  Complete Version Audit Trail</w:t>
      </w:r>
    </w:p>
    <w:p w14:paraId="75F17A3A">
      <w:r>
        <w:t>Restoring a previous version creates a new version instead of</w:t>
      </w:r>
    </w:p>
    <w:p w14:paraId="53015C65">
      <w:r>
        <w:t>overwriting history.</w:t>
      </w:r>
    </w:p>
    <w:p w14:paraId="079B2251">
      <w:r>
        <w:t>------------------------------------------------------------------------</w:t>
      </w:r>
    </w:p>
    <w:p w14:paraId="1CFD1C09">
      <w:pPr>
        <w:pStyle w:val="3"/>
      </w:pPr>
      <w:r>
        <w:t>Audit Logging</w:t>
      </w:r>
    </w:p>
    <w:p w14:paraId="008C6A9F">
      <w:r>
        <w:t>The platform records important activities including:</w:t>
      </w:r>
    </w:p>
    <w:p w14:paraId="2AC4CE34">
      <w:pPr>
        <w:pStyle w:val="23"/>
      </w:pPr>
      <w:r>
        <w:t xml:space="preserve">  Login</w:t>
      </w:r>
    </w:p>
    <w:p w14:paraId="09BAAAE3">
      <w:pPr>
        <w:pStyle w:val="23"/>
      </w:pPr>
      <w:r>
        <w:t xml:space="preserve">  Logout</w:t>
      </w:r>
    </w:p>
    <w:p w14:paraId="5BAC8767">
      <w:pPr>
        <w:pStyle w:val="23"/>
      </w:pPr>
      <w:r>
        <w:t xml:space="preserve">  Password Changes</w:t>
      </w:r>
    </w:p>
    <w:p w14:paraId="0B820826">
      <w:pPr>
        <w:pStyle w:val="23"/>
      </w:pPr>
      <w:r>
        <w:t xml:space="preserve">  Workspace Updates</w:t>
      </w:r>
    </w:p>
    <w:p w14:paraId="2FFF351E">
      <w:pPr>
        <w:pStyle w:val="23"/>
      </w:pPr>
      <w:r>
        <w:t xml:space="preserve">  User Management</w:t>
      </w:r>
    </w:p>
    <w:p w14:paraId="07018A37">
      <w:pPr>
        <w:pStyle w:val="23"/>
      </w:pPr>
      <w:r>
        <w:t>Role Changes</w:t>
      </w:r>
    </w:p>
    <w:p w14:paraId="1CFE93DC">
      <w:pPr>
        <w:pStyle w:val="23"/>
      </w:pPr>
      <w:r>
        <w:t xml:space="preserve">  Dataset Creation</w:t>
      </w:r>
    </w:p>
    <w:p w14:paraId="3601134D">
      <w:pPr>
        <w:pStyle w:val="23"/>
      </w:pPr>
      <w:r>
        <w:t xml:space="preserve">  Dataset Updates</w:t>
      </w:r>
    </w:p>
    <w:p w14:paraId="0D74D0CE">
      <w:pPr>
        <w:pStyle w:val="23"/>
      </w:pPr>
      <w:r>
        <w:t xml:space="preserve">  Version Changes</w:t>
      </w:r>
    </w:p>
    <w:p w14:paraId="3AD8BB1B">
      <w:pPr>
        <w:pStyle w:val="23"/>
      </w:pPr>
      <w:r>
        <w:t xml:space="preserve">  Archive / Restore</w:t>
      </w:r>
    </w:p>
    <w:p w14:paraId="1AA199E3">
      <w:pPr>
        <w:pStyle w:val="23"/>
      </w:pPr>
      <w:r>
        <w:t xml:space="preserve">  Soft Delete</w:t>
      </w:r>
    </w:p>
    <w:p w14:paraId="7125852A">
      <w:r>
        <w:t>This provides complete traceability.</w:t>
      </w:r>
    </w:p>
    <w:p w14:paraId="340A4832">
      <w:r>
        <w:t>------------------------------------------------------------------------</w:t>
      </w:r>
    </w:p>
    <w:p w14:paraId="22835E6A">
      <w:pPr>
        <w:pStyle w:val="2"/>
      </w:pPr>
      <w:r>
        <w:t>Technology Stack</w:t>
      </w:r>
    </w:p>
    <w:p w14:paraId="26D3E3E1">
      <w:pPr>
        <w:pStyle w:val="23"/>
      </w:pPr>
      <w:r>
        <w:t xml:space="preserve">  .NET 8</w:t>
      </w:r>
    </w:p>
    <w:p w14:paraId="18324C99">
      <w:pPr>
        <w:pStyle w:val="23"/>
      </w:pPr>
      <w:r>
        <w:t xml:space="preserve">  ASP.NET Core Web API</w:t>
      </w:r>
    </w:p>
    <w:p w14:paraId="60D722B1">
      <w:pPr>
        <w:pStyle w:val="23"/>
      </w:pPr>
      <w:r>
        <w:t xml:space="preserve">  ASP.NET Core Identity</w:t>
      </w:r>
    </w:p>
    <w:p w14:paraId="690F5267">
      <w:pPr>
        <w:pStyle w:val="23"/>
      </w:pPr>
      <w:r>
        <w:t xml:space="preserve">  Entity Framework Core</w:t>
      </w:r>
    </w:p>
    <w:p w14:paraId="1C4B0DDA">
      <w:pPr>
        <w:pStyle w:val="23"/>
      </w:pPr>
      <w:r>
        <w:t xml:space="preserve">  SQL Server</w:t>
      </w:r>
    </w:p>
    <w:p w14:paraId="28406C96">
      <w:pPr>
        <w:pStyle w:val="23"/>
      </w:pPr>
      <w:r>
        <w:t xml:space="preserve">  JWT Authentication</w:t>
      </w:r>
    </w:p>
    <w:p w14:paraId="28FBC31A">
      <w:pPr>
        <w:pStyle w:val="23"/>
      </w:pPr>
      <w:r>
        <w:t xml:space="preserve">  Swagger / OpenAPI</w:t>
      </w:r>
    </w:p>
    <w:p w14:paraId="3E59E4E1">
      <w:pPr>
        <w:pStyle w:val="23"/>
      </w:pPr>
      <w:r>
        <w:t xml:space="preserve">  xUnit</w:t>
      </w:r>
    </w:p>
    <w:p w14:paraId="3CCCEEF6">
      <w:r>
        <w:t>------------------------------------------------------------------------</w:t>
      </w:r>
    </w:p>
    <w:p w14:paraId="64A1E854">
      <w:pPr>
        <w:pStyle w:val="2"/>
      </w:pPr>
      <w:r>
        <w:t>Project Architecture</w:t>
      </w:r>
    </w:p>
    <w:p w14:paraId="33C10195">
      <w:r>
        <w:t>EnterpriseDataIntelligencePlatform</w:t>
      </w:r>
    </w:p>
    <w:p w14:paraId="07B8BFD1">
      <w:r>
        <w:t>│</w:t>
      </w:r>
    </w:p>
    <w:p w14:paraId="16D68586">
      <w:r>
        <w:t>├── Authorization</w:t>
      </w:r>
    </w:p>
    <w:p w14:paraId="3E60B6B9">
      <w:r>
        <w:t>├── Contracts</w:t>
      </w:r>
    </w:p>
    <w:p w14:paraId="74E3569C">
      <w:r>
        <w:t>├── Controllers</w:t>
      </w:r>
    </w:p>
    <w:p w14:paraId="41110367">
      <w:r>
        <w:t>├── Data</w:t>
      </w:r>
    </w:p>
    <w:p w14:paraId="34A2C7A7">
      <w:r>
        <w:t>├── Domain</w:t>
      </w:r>
    </w:p>
    <w:p w14:paraId="680E0680">
      <w:r>
        <w:t>├── Extensions</w:t>
      </w:r>
    </w:p>
    <w:p w14:paraId="6D169228">
      <w:r>
        <w:t>├── Infrastructure</w:t>
      </w:r>
    </w:p>
    <w:p w14:paraId="430F52DF">
      <w:r>
        <w:t>├── Middleware</w:t>
      </w:r>
    </w:p>
    <w:p w14:paraId="012BA480">
      <w:r>
        <w:t>├── Migrations</w:t>
      </w:r>
    </w:p>
    <w:p w14:paraId="4D2DEDFD">
      <w:r>
        <w:t>├── Services</w:t>
      </w:r>
    </w:p>
    <w:p w14:paraId="5592E2BD">
      <w:r>
        <w:t>│   ├── Interfaces</w:t>
      </w:r>
    </w:p>
    <w:p w14:paraId="532A7C8D">
      <w:r>
        <w:t>│   └── Implementations</w:t>
      </w:r>
    </w:p>
    <w:p w14:paraId="0A9E65F0">
      <w:r>
        <w:t>├── Docs</w:t>
      </w:r>
    </w:p>
    <w:p w14:paraId="4DCDC5AD">
      <w:r>
        <w:t>├── Postman</w:t>
      </w:r>
    </w:p>
    <w:p w14:paraId="46A173B4">
      <w:r>
        <w:t>└── EnterpriseDataIntelligencePlatform.Tests</w:t>
      </w:r>
    </w:p>
    <w:p w14:paraId="096FF663">
      <w:pPr>
        <w:pStyle w:val="3"/>
      </w:pPr>
      <w:r>
        <w:t>Request Flow</w:t>
      </w:r>
    </w:p>
    <w:p w14:paraId="713F914C">
      <w:r>
        <w:t>Client</w:t>
      </w:r>
    </w:p>
    <w:p w14:paraId="37980E68">
      <w:r>
        <w:t>↓</w:t>
      </w:r>
    </w:p>
    <w:p w14:paraId="105F6706">
      <w:r>
        <w:t>Controller</w:t>
      </w:r>
    </w:p>
    <w:p w14:paraId="1DF8B75A">
      <w:r>
        <w:t>↓</w:t>
      </w:r>
    </w:p>
    <w:p w14:paraId="5F33851F">
      <w:r>
        <w:t>Service Layer</w:t>
      </w:r>
    </w:p>
    <w:p w14:paraId="2C898DB9">
      <w:r>
        <w:t>↓</w:t>
      </w:r>
    </w:p>
    <w:p w14:paraId="2387C7CD">
      <w:r>
        <w:t>Entity Framework Core</w:t>
      </w:r>
    </w:p>
    <w:p w14:paraId="011D669A">
      <w:r>
        <w:t>↓</w:t>
      </w:r>
    </w:p>
    <w:p w14:paraId="5A305434">
      <w:r>
        <w:t>SQL Server</w:t>
      </w:r>
    </w:p>
    <w:p w14:paraId="2E2C76CA">
      <w:r>
        <w:t>↓</w:t>
      </w:r>
    </w:p>
    <w:p w14:paraId="085333AA">
      <w:r>
        <w:t>Response</w:t>
      </w:r>
    </w:p>
    <w:p w14:paraId="7FB69292">
      <w:r>
        <w:t>------------------------------------------------------------------------</w:t>
      </w:r>
    </w:p>
    <w:p w14:paraId="75BDA30D">
      <w:pPr>
        <w:pStyle w:val="2"/>
      </w:pPr>
      <w:r>
        <w:t>Main API Modules</w:t>
      </w:r>
    </w:p>
    <w:p w14:paraId="1F1F09D6">
      <w:pPr>
        <w:pStyle w:val="3"/>
      </w:pPr>
      <w:r>
        <w:t>Authentication</w:t>
      </w:r>
    </w:p>
    <w:p w14:paraId="1A4D4FF9">
      <w:pPr>
        <w:pStyle w:val="23"/>
      </w:pPr>
      <w:r>
        <w:t xml:space="preserve">  Login</w:t>
      </w:r>
    </w:p>
    <w:p w14:paraId="33DB6DAF">
      <w:pPr>
        <w:pStyle w:val="23"/>
      </w:pPr>
      <w:r>
        <w:t xml:space="preserve">  Refresh Token</w:t>
      </w:r>
    </w:p>
    <w:p w14:paraId="11F57302">
      <w:pPr>
        <w:pStyle w:val="23"/>
      </w:pPr>
      <w:r>
        <w:t xml:space="preserve">  Logout</w:t>
      </w:r>
    </w:p>
    <w:p w14:paraId="2F4C6AE3">
      <w:pPr>
        <w:pStyle w:val="23"/>
      </w:pPr>
      <w:r>
        <w:t xml:space="preserve">  Change Password</w:t>
      </w:r>
    </w:p>
    <w:p w14:paraId="1E4C395D">
      <w:pPr>
        <w:pStyle w:val="23"/>
      </w:pPr>
      <w:r>
        <w:t xml:space="preserve">  Forgot Password</w:t>
      </w:r>
    </w:p>
    <w:p w14:paraId="04415E2C">
      <w:pPr>
        <w:pStyle w:val="23"/>
      </w:pPr>
      <w:r>
        <w:t xml:space="preserve">  Reset Password</w:t>
      </w:r>
    </w:p>
    <w:p w14:paraId="1BF1B05B">
      <w:pPr>
        <w:pStyle w:val="3"/>
      </w:pPr>
      <w:r>
        <w:t>Workspaces</w:t>
      </w:r>
    </w:p>
    <w:p w14:paraId="4AECA8EF">
      <w:pPr>
        <w:pStyle w:val="23"/>
      </w:pPr>
      <w:r>
        <w:t xml:space="preserve">  Create</w:t>
      </w:r>
    </w:p>
    <w:p w14:paraId="06B54FF5">
      <w:pPr>
        <w:pStyle w:val="23"/>
      </w:pPr>
      <w:r>
        <w:t xml:space="preserve">  Update</w:t>
      </w:r>
    </w:p>
    <w:p w14:paraId="2A02A40B">
      <w:pPr>
        <w:pStyle w:val="23"/>
      </w:pPr>
      <w:r>
        <w:t xml:space="preserve">  Activate</w:t>
      </w:r>
    </w:p>
    <w:p w14:paraId="39C8C7C3">
      <w:pPr>
        <w:pStyle w:val="23"/>
      </w:pPr>
      <w:r>
        <w:t xml:space="preserve">  Deactivate</w:t>
      </w:r>
    </w:p>
    <w:p w14:paraId="4600BF2E">
      <w:pPr>
        <w:pStyle w:val="23"/>
      </w:pPr>
      <w:r>
        <w:t xml:space="preserve">  View Details</w:t>
      </w:r>
    </w:p>
    <w:p w14:paraId="3921529C">
      <w:pPr>
        <w:pStyle w:val="3"/>
      </w:pPr>
      <w:r>
        <w:t>Users</w:t>
      </w:r>
    </w:p>
    <w:p w14:paraId="333F44EF">
      <w:pPr>
        <w:pStyle w:val="23"/>
      </w:pPr>
      <w:r>
        <w:t xml:space="preserve">  Register</w:t>
      </w:r>
    </w:p>
    <w:p w14:paraId="7909D691">
      <w:pPr>
        <w:pStyle w:val="23"/>
      </w:pPr>
      <w:r>
        <w:t xml:space="preserve">  Update</w:t>
      </w:r>
    </w:p>
    <w:p w14:paraId="4C0A653A">
      <w:pPr>
        <w:pStyle w:val="23"/>
      </w:pPr>
      <w:r>
        <w:t xml:space="preserve">  Activate</w:t>
      </w:r>
    </w:p>
    <w:p w14:paraId="593DF2B5">
      <w:pPr>
        <w:pStyle w:val="23"/>
      </w:pPr>
      <w:r>
        <w:t xml:space="preserve">  Deactivate</w:t>
      </w:r>
    </w:p>
    <w:p w14:paraId="18785232">
      <w:pPr>
        <w:pStyle w:val="23"/>
      </w:pPr>
      <w:r>
        <w:t xml:space="preserve">  Assign Role</w:t>
      </w:r>
    </w:p>
    <w:p w14:paraId="08F2EE6F">
      <w:pPr>
        <w:pStyle w:val="23"/>
      </w:pPr>
      <w:r>
        <w:t xml:space="preserve">  Search</w:t>
      </w:r>
    </w:p>
    <w:p w14:paraId="50461CA3">
      <w:pPr>
        <w:pStyle w:val="3"/>
      </w:pPr>
      <w:r>
        <w:t>Datasets</w:t>
      </w:r>
    </w:p>
    <w:p w14:paraId="53F2D6B6">
      <w:pPr>
        <w:pStyle w:val="23"/>
      </w:pPr>
      <w:r>
        <w:t xml:space="preserve">  Register</w:t>
      </w:r>
    </w:p>
    <w:p w14:paraId="50756739">
      <w:pPr>
        <w:pStyle w:val="23"/>
      </w:pPr>
      <w:r>
        <w:t xml:space="preserve">  Update</w:t>
      </w:r>
    </w:p>
    <w:p w14:paraId="3ECD531B">
      <w:pPr>
        <w:pStyle w:val="23"/>
      </w:pPr>
      <w:r>
        <w:t xml:space="preserve">  Archive</w:t>
      </w:r>
    </w:p>
    <w:p w14:paraId="7D739E34">
      <w:pPr>
        <w:pStyle w:val="23"/>
      </w:pPr>
      <w:r>
        <w:t xml:space="preserve">  Restore</w:t>
      </w:r>
    </w:p>
    <w:p w14:paraId="1FC98349">
      <w:pPr>
        <w:pStyle w:val="23"/>
      </w:pPr>
      <w:r>
        <w:t xml:space="preserve">  Soft Delete</w:t>
      </w:r>
    </w:p>
    <w:p w14:paraId="523E336D">
      <w:pPr>
        <w:pStyle w:val="23"/>
      </w:pPr>
      <w:r>
        <w:t xml:space="preserve">  Recover</w:t>
      </w:r>
    </w:p>
    <w:p w14:paraId="58D905A9">
      <w:pPr>
        <w:pStyle w:val="23"/>
      </w:pPr>
      <w:r>
        <w:t xml:space="preserve">  Version History</w:t>
      </w:r>
    </w:p>
    <w:p w14:paraId="0208EB80">
      <w:pPr>
        <w:pStyle w:val="23"/>
      </w:pPr>
      <w:r>
        <w:t xml:space="preserve">  Restore Previous Version</w:t>
      </w:r>
    </w:p>
    <w:p w14:paraId="395EC189">
      <w:pPr>
        <w:pStyle w:val="3"/>
      </w:pPr>
      <w:r>
        <w:t>Dataset Categories</w:t>
      </w:r>
    </w:p>
    <w:p w14:paraId="75CF862C">
      <w:pPr>
        <w:pStyle w:val="23"/>
      </w:pPr>
      <w:r>
        <w:t xml:space="preserve">  Create</w:t>
      </w:r>
    </w:p>
    <w:p w14:paraId="13E40F56">
      <w:pPr>
        <w:pStyle w:val="23"/>
      </w:pPr>
      <w:r>
        <w:t xml:space="preserve">  Update</w:t>
      </w:r>
    </w:p>
    <w:p w14:paraId="5636F24F">
      <w:pPr>
        <w:pStyle w:val="23"/>
      </w:pPr>
      <w:r>
        <w:t xml:space="preserve">  View</w:t>
      </w:r>
    </w:p>
    <w:p w14:paraId="1C55D788">
      <w:r>
        <w:t>------------------------------------------------------------------------</w:t>
      </w:r>
    </w:p>
    <w:p w14:paraId="4B0A393D">
      <w:pPr>
        <w:pStyle w:val="2"/>
      </w:pPr>
      <w:r>
        <w:t>Configuration</w:t>
      </w:r>
    </w:p>
    <w:p w14:paraId="7D08F28C">
      <w:r>
        <w:t xml:space="preserve">Configure the following sections inside </w:t>
      </w:r>
      <w:r>
        <w:rPr>
          <w:b/>
        </w:rPr>
        <w:t>appsettings.json</w:t>
      </w:r>
    </w:p>
    <w:p w14:paraId="1ACE3EA4">
      <w:pPr>
        <w:pStyle w:val="23"/>
      </w:pPr>
      <w:r>
        <w:t xml:space="preserve">  ConnectionStrings</w:t>
      </w:r>
    </w:p>
    <w:p w14:paraId="559216F4">
      <w:pPr>
        <w:pStyle w:val="23"/>
      </w:pPr>
      <w:r>
        <w:t xml:space="preserve">  Jwt</w:t>
      </w:r>
    </w:p>
    <w:p w14:paraId="395935CC">
      <w:pPr>
        <w:pStyle w:val="23"/>
      </w:pPr>
      <w:r>
        <w:t xml:space="preserve">  DefaultAdmin</w:t>
      </w:r>
    </w:p>
    <w:p w14:paraId="56EE45DC">
      <w:pPr>
        <w:pStyle w:val="23"/>
      </w:pPr>
      <w:r>
        <w:t xml:space="preserve">  PasswordReset</w:t>
      </w:r>
    </w:p>
    <w:p w14:paraId="5AF6F49D">
      <w:r>
        <w:t>For production environments, store secrets using User Secrets, Azure Key</w:t>
      </w:r>
    </w:p>
    <w:p w14:paraId="2B20C2E8">
      <w:r>
        <w:t>Vault or environment variables.</w:t>
      </w:r>
    </w:p>
    <w:p w14:paraId="4BD24824">
      <w:r>
        <w:t>------------------------------------------------------------------------</w:t>
      </w:r>
    </w:p>
    <w:p w14:paraId="0A5D0EED">
      <w:pPr>
        <w:pStyle w:val="2"/>
      </w:pPr>
      <w:r>
        <w:t>Database Setup</w:t>
      </w:r>
    </w:p>
    <w:p w14:paraId="6B19B019">
      <w:r>
        <w:t>dotnet restore</w:t>
      </w:r>
    </w:p>
    <w:p w14:paraId="331EF708">
      <w:r>
        <w:t>dotnet ef database update --project EnterpriseDataIntelligencePlatform</w:t>
      </w:r>
    </w:p>
    <w:p w14:paraId="1BEB71FF">
      <w:r>
        <w:t>------------------------------------------------------------------------</w:t>
      </w:r>
    </w:p>
    <w:p w14:paraId="72985A70">
      <w:pPr>
        <w:pStyle w:val="2"/>
      </w:pPr>
      <w:r>
        <w:t>Running the Application</w:t>
      </w:r>
    </w:p>
    <w:p w14:paraId="666D6936">
      <w:r>
        <w:t>dotnet restore</w:t>
      </w:r>
    </w:p>
    <w:p w14:paraId="028B26C9">
      <w:r>
        <w:t>dotnet build</w:t>
      </w:r>
    </w:p>
    <w:p w14:paraId="307BCA9B">
      <w:r>
        <w:t>dotnet ef database update --project EnterpriseDataIntelligencePlatform</w:t>
      </w:r>
    </w:p>
    <w:p w14:paraId="213798B1">
      <w:r>
        <w:t>dotnet run --project EnterpriseDataIntelligencePlatform</w:t>
      </w:r>
    </w:p>
    <w:p w14:paraId="26788A19">
      <w:r>
        <w:t>Open Swagger:</w:t>
      </w:r>
    </w:p>
    <w:p w14:paraId="6720498D">
      <w:r>
        <w:t>https://localhost:62725/swagger</w:t>
      </w:r>
    </w:p>
    <w:p w14:paraId="523F1AF0">
      <w:r>
        <w:t>------------------------------------------------------------------------</w:t>
      </w:r>
    </w:p>
    <w:p w14:paraId="6E9AE692">
      <w:pPr>
        <w:pStyle w:val="2"/>
      </w:pPr>
      <w:r>
        <w:t>Swagger</w:t>
      </w:r>
    </w:p>
    <w:p w14:paraId="35FD284D">
      <w:r>
        <w:t>1.  Login using the Authentication API.</w:t>
      </w:r>
    </w:p>
    <w:p w14:paraId="07D43CC5">
      <w:r>
        <w:t>2.  Copy the JWT Access Token.</w:t>
      </w:r>
    </w:p>
    <w:p w14:paraId="195CE4A5">
      <w:r>
        <w:t xml:space="preserve">3. Click </w:t>
      </w:r>
      <w:r>
        <w:rPr>
          <w:b/>
        </w:rPr>
        <w:t>Authorize</w:t>
      </w:r>
      <w:r>
        <w:t>.</w:t>
      </w:r>
    </w:p>
    <w:p w14:paraId="721FA8A2">
      <w:r>
        <w:t xml:space="preserve">4. Enter </w:t>
      </w:r>
      <w:r>
        <w:rPr>
          <w:b/>
        </w:rPr>
        <w:t>Bearer &lt;token&gt;</w:t>
      </w:r>
      <w:r>
        <w:t>.</w:t>
      </w:r>
    </w:p>
    <w:p w14:paraId="36E638F5">
      <w:r>
        <w:t>5.  Test all secured APIs.</w:t>
      </w:r>
    </w:p>
    <w:p w14:paraId="50023BDE">
      <w:r>
        <w:t>------------------------------------------------------------------------</w:t>
      </w:r>
    </w:p>
    <w:p w14:paraId="34C430D5">
      <w:pPr>
        <w:pStyle w:val="2"/>
      </w:pPr>
      <w:r>
        <w:t>Testing</w:t>
      </w:r>
    </w:p>
    <w:p w14:paraId="6CB89FB9">
      <w:r>
        <w:t>Recommended validation:</w:t>
      </w:r>
    </w:p>
    <w:p w14:paraId="76725318">
      <w:pPr>
        <w:pStyle w:val="23"/>
      </w:pPr>
      <w:r>
        <w:t xml:space="preserve">  Authentication</w:t>
      </w:r>
    </w:p>
    <w:p w14:paraId="57652EEC">
      <w:pPr>
        <w:pStyle w:val="23"/>
      </w:pPr>
      <w:r>
        <w:t xml:space="preserve">  Workspace APIs</w:t>
      </w:r>
    </w:p>
    <w:p w14:paraId="4D336C37">
      <w:pPr>
        <w:pStyle w:val="23"/>
      </w:pPr>
      <w:r>
        <w:t xml:space="preserve">  User APIs</w:t>
      </w:r>
    </w:p>
    <w:p w14:paraId="68178C1D">
      <w:pPr>
        <w:pStyle w:val="23"/>
      </w:pPr>
      <w:r>
        <w:t xml:space="preserve">  Dataset APIs</w:t>
      </w:r>
    </w:p>
    <w:p w14:paraId="64CCE06F">
      <w:pPr>
        <w:pStyle w:val="23"/>
      </w:pPr>
      <w:r>
        <w:t xml:space="preserve">  Search &amp; Filtering</w:t>
      </w:r>
    </w:p>
    <w:p w14:paraId="656274E1">
      <w:pPr>
        <w:pStyle w:val="23"/>
      </w:pPr>
      <w:r>
        <w:t xml:space="preserve">  Dataset Versioning</w:t>
      </w:r>
    </w:p>
    <w:p w14:paraId="4CD3E68D">
      <w:pPr>
        <w:pStyle w:val="23"/>
      </w:pPr>
      <w:r>
        <w:t xml:space="preserve">  Authorization</w:t>
      </w:r>
    </w:p>
    <w:p w14:paraId="04B56BCA">
      <w:pPr>
        <w:pStyle w:val="23"/>
      </w:pPr>
      <w:r>
        <w:t xml:space="preserve">  Audit Logs</w:t>
      </w:r>
    </w:p>
    <w:p w14:paraId="29E4F193">
      <w:r>
        <w:t>Run tests:</w:t>
      </w:r>
    </w:p>
    <w:p w14:paraId="24244399">
      <w:r>
        <w:t>dotnet test</w:t>
      </w:r>
    </w:p>
    <w:p w14:paraId="180CC7F1">
      <w:r>
        <w:t>------------------------------------------------------------------------</w:t>
      </w:r>
    </w:p>
    <w:p w14:paraId="1CA9D946">
      <w:pPr>
        <w:pStyle w:val="2"/>
      </w:pPr>
      <w:r>
        <w:t>Supporting Documents</w:t>
      </w:r>
    </w:p>
    <w:p w14:paraId="63D8185C">
      <w:r>
        <w:t>Docs</w:t>
      </w:r>
    </w:p>
    <w:p w14:paraId="7B202365">
      <w:pPr>
        <w:pStyle w:val="23"/>
      </w:pPr>
      <w:r>
        <w:t xml:space="preserve">  TECHNICAL_DOCUMENTATION.Docx</w:t>
      </w:r>
    </w:p>
    <w:p w14:paraId="0C06665A">
      <w:r>
        <w:t>Postman</w:t>
      </w:r>
    </w:p>
    <w:p w14:paraId="20EE5956">
      <w:pPr>
        <w:pStyle w:val="23"/>
      </w:pPr>
      <w:r>
        <w:t xml:space="preserve">  postman_collection.json</w:t>
      </w:r>
    </w:p>
    <w:p w14:paraId="62F06088">
      <w:r>
        <w:t>SQL</w:t>
      </w:r>
    </w:p>
    <w:p w14:paraId="554862CB">
      <w:pPr>
        <w:pStyle w:val="23"/>
      </w:pPr>
      <w:r>
        <w:t xml:space="preserve">  Initial Database Script</w:t>
      </w:r>
    </w:p>
    <w:p w14:paraId="260A74EF">
      <w:r>
        <w:t>------------------------------------------------------------------------</w:t>
      </w:r>
    </w:p>
    <w:p w14:paraId="5FE9F6EF">
      <w:pPr>
        <w:pStyle w:val="2"/>
      </w:pPr>
      <w:r>
        <w:t>Security Notes</w:t>
      </w:r>
    </w:p>
    <w:p w14:paraId="0A2828EF">
      <w:pPr>
        <w:pStyle w:val="23"/>
      </w:pPr>
      <w:r>
        <w:t xml:space="preserve">  Never commit production secrets.</w:t>
      </w:r>
    </w:p>
    <w:p w14:paraId="766E3D6B">
      <w:pPr>
        <w:pStyle w:val="23"/>
      </w:pPr>
      <w:r>
        <w:t xml:space="preserve">  Replace development JWT keys before deployment.</w:t>
      </w:r>
    </w:p>
    <w:p w14:paraId="50187E4A">
      <w:pPr>
        <w:pStyle w:val="23"/>
      </w:pPr>
      <w:r>
        <w:t xml:space="preserve">  Replace default administrator password.</w:t>
      </w:r>
    </w:p>
    <w:p w14:paraId="39BAF556">
      <w:pPr>
        <w:pStyle w:val="23"/>
      </w:pPr>
      <w:r>
        <w:t xml:space="preserve">  Enable HTTPS in production.</w:t>
      </w:r>
    </w:p>
    <w:p w14:paraId="01096271">
      <w:pPr>
        <w:pStyle w:val="23"/>
      </w:pPr>
      <w:r>
        <w:t xml:space="preserve">  Restrict CORS.</w:t>
      </w:r>
    </w:p>
    <w:p w14:paraId="3465D902">
      <w:pPr>
        <w:pStyle w:val="23"/>
      </w:pPr>
      <w:r>
        <w:t xml:space="preserve">  Store secrets securely.</w:t>
      </w:r>
    </w:p>
    <w:p w14:paraId="5BA9C914">
      <w:pPr>
        <w:pStyle w:val="23"/>
      </w:pPr>
      <w:r>
        <w:t xml:space="preserve">  Enable database backups and monitoring.</w:t>
      </w:r>
    </w:p>
    <w:p w14:paraId="6D00097D">
      <w:r>
        <w:t>------------------------------------------------------------------------</w:t>
      </w:r>
    </w:p>
    <w:p w14:paraId="105CC4CA">
      <w:r>
        <w:t>This document serves as the primary overview of the Enterprise Data</w:t>
      </w:r>
    </w:p>
    <w:p w14:paraId="324A36AA">
      <w:r>
        <w:t>Intelligence Platform and provides developers with the information</w:t>
      </w:r>
    </w:p>
    <w:p w14:paraId="0191D127">
      <w:r>
        <w:t>required to configure, run, test and extend the application.</w:t>
      </w:r>
    </w:p>
    <w:p w14:paraId="112B4367">
      <w:r>
        <w:br w:type="page"/>
      </w:r>
    </w:p>
    <w:p w14:paraId="067004F1">
      <w:pPr>
        <w:pStyle w:val="2"/>
        <w:keepNext/>
      </w:pPr>
      <w:r>
        <w:t>Data Import &amp; Ingestion Management Module</w:t>
      </w:r>
    </w:p>
    <w:p w14:paraId="65A35AEB">
      <w:pPr>
        <w:pStyle w:val="164"/>
        <w:pBdr>
          <w:top w:val="single" w:color="AFC8DD" w:sz="6" w:space="6"/>
          <w:left w:val="single" w:color="AFC8DD" w:sz="6" w:space="6"/>
          <w:bottom w:val="single" w:color="AFC8DD" w:sz="6" w:space="6"/>
          <w:right w:val="single" w:color="AFC8DD" w:sz="6" w:space="6"/>
        </w:pBdr>
        <w:shd w:val="clear" w:fill="EAF2F8"/>
        <w:spacing w:before="80" w:after="200" w:line="259" w:lineRule="auto"/>
        <w:ind w:left="144" w:right="144"/>
      </w:pPr>
      <w:r>
        <w:rPr>
          <w:rFonts w:ascii="Cambria" w:hAnsi="Cambria"/>
          <w:b/>
          <w:color w:val="17365D"/>
          <w:sz w:val="21"/>
        </w:rPr>
        <w:t xml:space="preserve">Implementation outcome. </w:t>
      </w:r>
      <w:r>
        <w:rPr>
          <w:rFonts w:ascii="Cambria" w:hAnsi="Cambria"/>
          <w:sz w:val="21"/>
        </w:rPr>
        <w:t>EDIP now supports secure CSV/XLSX uploads, configurable Full and Append imports, background processing, schema inference and validation, duplicate handling, transactional dataset updates, row-level error reporting, history, cancellation, workspace isolation and permission-based access.</w:t>
      </w:r>
    </w:p>
    <w:p w14:paraId="13315394">
      <w:pPr>
        <w:pStyle w:val="164"/>
        <w:keepNext/>
        <w:widowControl/>
        <w:spacing w:before="0" w:after="120" w:line="269" w:lineRule="auto"/>
      </w:pPr>
      <w:r>
        <w:rPr>
          <w:rFonts w:ascii="Cambria" w:hAnsi="Cambria"/>
          <w:b/>
          <w:color w:val="17365D"/>
          <w:sz w:val="21"/>
        </w:rPr>
        <w:t>Module scope:</w:t>
      </w:r>
      <w:r>
        <w:rPr>
          <w:rFonts w:ascii="Cambria" w:hAnsi="Cambria"/>
          <w:sz w:val="21"/>
        </w:rPr>
        <w:t xml:space="preserve"> Extension of the existing Dataset Management and Data Catalog platform.</w:t>
      </w:r>
    </w:p>
    <w:p w14:paraId="64C0E1D4">
      <w:pPr>
        <w:pStyle w:val="164"/>
        <w:keepNext/>
        <w:widowControl/>
        <w:spacing w:before="0" w:after="120" w:line="269" w:lineRule="auto"/>
      </w:pPr>
      <w:r>
        <w:rPr>
          <w:rFonts w:ascii="Cambria" w:hAnsi="Cambria"/>
          <w:b/>
          <w:color w:val="17365D"/>
          <w:sz w:val="21"/>
        </w:rPr>
        <w:t>Technology baseline:</w:t>
      </w:r>
      <w:r>
        <w:rPr>
          <w:rFonts w:ascii="Cambria" w:hAnsi="Cambria"/>
          <w:sz w:val="21"/>
        </w:rPr>
        <w:t xml:space="preserve"> .NET 8, ASP.NET Core Web API, Entity Framework Core, SQL Server and DocumentFormat.OpenXml.</w:t>
      </w:r>
    </w:p>
    <w:p w14:paraId="1DB8100B">
      <w:pPr>
        <w:pStyle w:val="164"/>
        <w:keepNext/>
        <w:widowControl/>
        <w:spacing w:before="0" w:after="200" w:line="269" w:lineRule="auto"/>
      </w:pPr>
      <w:r>
        <w:rPr>
          <w:rFonts w:ascii="Cambria" w:hAnsi="Cambria"/>
          <w:b/>
          <w:color w:val="17365D"/>
          <w:sz w:val="21"/>
        </w:rPr>
        <w:t>Prepared:</w:t>
      </w:r>
      <w:r>
        <w:rPr>
          <w:rFonts w:ascii="Cambria" w:hAnsi="Cambria"/>
          <w:sz w:val="21"/>
        </w:rPr>
        <w:t xml:space="preserve"> 11 August 2026.</w:t>
      </w:r>
    </w:p>
    <w:p w14:paraId="6A097C81">
      <w:pPr>
        <w:pStyle w:val="3"/>
        <w:keepNext/>
      </w:pPr>
      <w:r>
        <w:t>1. Module Objective</w:t>
      </w:r>
    </w:p>
    <w:p w14:paraId="160FD1AB">
      <w:pPr>
        <w:pStyle w:val="164"/>
        <w:widowControl/>
        <w:spacing w:before="0" w:after="120" w:line="269" w:lineRule="auto"/>
      </w:pPr>
      <w:r>
        <w:rPr>
          <w:rFonts w:ascii="Cambria" w:hAnsi="Cambria"/>
          <w:sz w:val="21"/>
        </w:rPr>
        <w:t>The module adds a governed ingestion pipeline to the existing Enterprise Data Intelligence Platform without introducing a second workspace, dataset, authentication or authorization model. It reuses the current JWT, RBAC, workspace query filters, audit service and dataset lifecycle controls.</w:t>
      </w:r>
    </w:p>
    <w:p w14:paraId="48179D2E">
      <w:pPr>
        <w:pStyle w:val="23"/>
        <w:spacing w:after="50" w:line="252" w:lineRule="auto"/>
      </w:pPr>
      <w:r>
        <w:rPr>
          <w:rFonts w:ascii="Cambria" w:hAnsi="Cambria"/>
          <w:sz w:val="20"/>
        </w:rPr>
        <w:t>Accept CSV and XLSX files through secured dataset-scoped endpoints.</w:t>
      </w:r>
    </w:p>
    <w:p w14:paraId="3A7AC354">
      <w:pPr>
        <w:pStyle w:val="23"/>
        <w:spacing w:after="50" w:line="252" w:lineRule="auto"/>
      </w:pPr>
      <w:r>
        <w:rPr>
          <w:rFonts w:ascii="Cambria" w:hAnsi="Cambria"/>
          <w:sz w:val="20"/>
        </w:rPr>
        <w:t>Separate file upload, import configuration and import execution into auditable operations.</w:t>
      </w:r>
    </w:p>
    <w:p w14:paraId="157D91AF">
      <w:pPr>
        <w:pStyle w:val="23"/>
        <w:spacing w:after="50" w:line="252" w:lineRule="auto"/>
      </w:pPr>
      <w:r>
        <w:rPr>
          <w:rFonts w:ascii="Cambria" w:hAnsi="Cambria"/>
          <w:sz w:val="20"/>
        </w:rPr>
        <w:t>Process imports outside the request thread through a hosted background service.</w:t>
      </w:r>
    </w:p>
    <w:p w14:paraId="4D886187">
      <w:pPr>
        <w:pStyle w:val="23"/>
        <w:spacing w:after="50" w:line="252" w:lineRule="auto"/>
      </w:pPr>
      <w:r>
        <w:rPr>
          <w:rFonts w:ascii="Cambria" w:hAnsi="Cambria"/>
          <w:sz w:val="20"/>
        </w:rPr>
        <w:t>Establish a reusable dataset schema on the first successful Full import.</w:t>
      </w:r>
    </w:p>
    <w:p w14:paraId="07D4FD2E">
      <w:pPr>
        <w:pStyle w:val="23"/>
        <w:spacing w:after="50" w:line="252" w:lineRule="auto"/>
      </w:pPr>
      <w:r>
        <w:rPr>
          <w:rFonts w:ascii="Cambria" w:hAnsi="Cambria"/>
          <w:sz w:val="20"/>
        </w:rPr>
        <w:t>Commit valid records safely while preserving row-level error information.</w:t>
      </w:r>
    </w:p>
    <w:p w14:paraId="16815293">
      <w:pPr>
        <w:pStyle w:val="23"/>
        <w:spacing w:after="50" w:line="252" w:lineRule="auto"/>
      </w:pPr>
      <w:r>
        <w:rPr>
          <w:rFonts w:ascii="Cambria" w:hAnsi="Cambria"/>
          <w:sz w:val="20"/>
        </w:rPr>
        <w:t>Expose import status, history, errors, cancellation and key-column administration.</w:t>
      </w:r>
    </w:p>
    <w:p w14:paraId="72C57262">
      <w:pPr>
        <w:pStyle w:val="3"/>
        <w:keepNext/>
      </w:pPr>
      <w:r>
        <w:t>2. Delivered Scope</w:t>
      </w:r>
    </w:p>
    <w:p w14:paraId="7CA7B4B5">
      <w:pPr>
        <w:pStyle w:val="23"/>
        <w:spacing w:after="50" w:line="252" w:lineRule="auto"/>
      </w:pPr>
      <w:r>
        <w:rPr>
          <w:rFonts w:ascii="Cambria" w:hAnsi="Cambria"/>
          <w:sz w:val="20"/>
        </w:rPr>
        <w:t>Dataset-scoped upload metadata and local file storage abstraction.</w:t>
      </w:r>
    </w:p>
    <w:p w14:paraId="14C52EDD">
      <w:pPr>
        <w:pStyle w:val="23"/>
        <w:spacing w:after="50" w:line="252" w:lineRule="auto"/>
      </w:pPr>
      <w:r>
        <w:rPr>
          <w:rFonts w:ascii="Cambria" w:hAnsi="Cambria"/>
          <w:sz w:val="20"/>
        </w:rPr>
        <w:t>CSV delimiter handling and XLSX worksheet discovery/selection.</w:t>
      </w:r>
    </w:p>
    <w:p w14:paraId="54CDDC77">
      <w:pPr>
        <w:pStyle w:val="23"/>
        <w:spacing w:after="50" w:line="252" w:lineRule="auto"/>
      </w:pPr>
      <w:r>
        <w:rPr>
          <w:rFonts w:ascii="Cambria" w:hAnsi="Cambria"/>
          <w:sz w:val="20"/>
        </w:rPr>
        <w:t>Created → Queued → Processing → terminal status lifecycle.</w:t>
      </w:r>
    </w:p>
    <w:p w14:paraId="412BDA88">
      <w:pPr>
        <w:pStyle w:val="23"/>
        <w:spacing w:after="50" w:line="252" w:lineRule="auto"/>
      </w:pPr>
      <w:r>
        <w:rPr>
          <w:rFonts w:ascii="Cambria" w:hAnsi="Cambria"/>
          <w:sz w:val="20"/>
        </w:rPr>
        <w:t>Full and Append processing modes.</w:t>
      </w:r>
    </w:p>
    <w:p w14:paraId="04915FE1">
      <w:pPr>
        <w:pStyle w:val="23"/>
        <w:spacing w:after="50" w:line="252" w:lineRule="auto"/>
      </w:pPr>
      <w:r>
        <w:rPr>
          <w:rFonts w:ascii="Cambria" w:hAnsi="Cambria"/>
          <w:sz w:val="20"/>
        </w:rPr>
        <w:t>Skip, Reject and Update duplicate strategies with composite-key support.</w:t>
      </w:r>
    </w:p>
    <w:p w14:paraId="36D57FC6">
      <w:pPr>
        <w:pStyle w:val="23"/>
        <w:spacing w:after="50" w:line="252" w:lineRule="auto"/>
      </w:pPr>
      <w:r>
        <w:rPr>
          <w:rFonts w:ascii="Cambria" w:hAnsi="Cambria"/>
          <w:sz w:val="20"/>
        </w:rPr>
        <w:t>Automatic inference of Integer, Decimal, Boolean, DateTime and String columns.</w:t>
      </w:r>
    </w:p>
    <w:p w14:paraId="504A2658">
      <w:pPr>
        <w:pStyle w:val="23"/>
        <w:spacing w:after="50" w:line="252" w:lineRule="auto"/>
      </w:pPr>
      <w:r>
        <w:rPr>
          <w:rFonts w:ascii="Cambria" w:hAnsi="Cambria"/>
          <w:sz w:val="20"/>
        </w:rPr>
        <w:t>Staging rows/values, typed dataset values and persistent import errors.</w:t>
      </w:r>
    </w:p>
    <w:p w14:paraId="323ADE43">
      <w:pPr>
        <w:pStyle w:val="23"/>
        <w:spacing w:after="50" w:line="252" w:lineRule="auto"/>
      </w:pPr>
      <w:r>
        <w:rPr>
          <w:rFonts w:ascii="Cambria" w:hAnsi="Cambria"/>
          <w:sz w:val="20"/>
        </w:rPr>
        <w:t>Serializable active-import guard, cooperative cancellation and transactional final writes.</w:t>
      </w:r>
    </w:p>
    <w:p w14:paraId="75B91847">
      <w:pPr>
        <w:pStyle w:val="23"/>
        <w:spacing w:after="50" w:line="252" w:lineRule="auto"/>
      </w:pPr>
      <w:r>
        <w:rPr>
          <w:rFonts w:ascii="Cambria" w:hAnsi="Cambria"/>
          <w:sz w:val="20"/>
        </w:rPr>
        <w:t>Seven new import permissions with role mappings and workspace isolation.</w:t>
      </w:r>
    </w:p>
    <w:p w14:paraId="1D279C15">
      <w:pPr>
        <w:pStyle w:val="23"/>
        <w:spacing w:after="50" w:line="252" w:lineRule="auto"/>
      </w:pPr>
      <w:r>
        <w:rPr>
          <w:rFonts w:ascii="Cambria" w:hAnsi="Cambria"/>
          <w:sz w:val="20"/>
        </w:rPr>
        <w:t>Database migration, xUnit coverage and an eight-request Postman collection.</w:t>
      </w:r>
    </w:p>
    <w:p w14:paraId="6786973E">
      <w:pPr>
        <w:pStyle w:val="3"/>
        <w:keepNext/>
        <w:pageBreakBefore/>
      </w:pPr>
      <w:r>
        <w:t>3. Architecture and Processing Flow</w:t>
      </w:r>
    </w:p>
    <w:p w14:paraId="291DD021">
      <w:pPr>
        <w:pStyle w:val="164"/>
        <w:widowControl/>
        <w:spacing w:before="0" w:after="120" w:line="269" w:lineRule="auto"/>
      </w:pPr>
      <w:r>
        <w:rPr>
          <w:rFonts w:ascii="Cambria" w:hAnsi="Cambria"/>
          <w:sz w:val="21"/>
        </w:rPr>
        <w:t>The controller remains thin. ImportService performs request validation and orchestration, the queue decouples API requests from processing, and ImportProcessor owns parsing, schema checks, staging, transactional mutation and terminal-state updates.</w:t>
      </w:r>
    </w:p>
    <w:p w14:paraId="5114FD11">
      <w:pPr>
        <w:spacing w:before="80" w:after="20"/>
        <w:jc w:val="center"/>
      </w:pPr>
      <w:r>
        <w:drawing>
          <wp:inline distT="0" distB="0" distL="114300" distR="114300">
            <wp:extent cx="5440680" cy="3613785"/>
            <wp:effectExtent l="0" t="0" r="7620" b="5715"/>
            <wp:docPr id="1" name="Picture 1" descr="Data import and ingestion flow from upload and configuration through queue, validation, staging, transactional commit, reporting and failure or cancellation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ata import and ingestion flow from upload and configuration through queue, validation, staging, transactional commit, reporting and failure or cancellation handling."/>
                    <pic:cNvPicPr>
                      <a:picLocks noChangeAspect="1"/>
                    </pic:cNvPicPr>
                  </pic:nvPicPr>
                  <pic:blipFill>
                    <a:blip r:embed="rId9"/>
                    <a:stretch>
                      <a:fillRect/>
                    </a:stretch>
                  </pic:blipFill>
                  <pic:spPr>
                    <a:xfrm>
                      <a:off x="0" y="0"/>
                      <a:ext cx="5440680" cy="3614166"/>
                    </a:xfrm>
                    <a:prstGeom prst="rect">
                      <a:avLst/>
                    </a:prstGeom>
                  </pic:spPr>
                </pic:pic>
              </a:graphicData>
            </a:graphic>
          </wp:inline>
        </w:drawing>
      </w:r>
    </w:p>
    <w:p w14:paraId="07C0F486">
      <w:pPr>
        <w:pStyle w:val="166"/>
        <w:spacing w:before="40" w:after="160"/>
        <w:jc w:val="center"/>
      </w:pPr>
      <w:r>
        <w:rPr>
          <w:rFonts w:ascii="Cambria" w:hAnsi="Cambria"/>
          <w:i/>
          <w:color w:val="666666"/>
          <w:sz w:val="17"/>
        </w:rPr>
        <w:t>Figure 1. Dataset import orchestration and transactional processing flow</w:t>
      </w:r>
    </w:p>
    <w:p w14:paraId="05ED2EC1">
      <w:pPr>
        <w:pStyle w:val="29"/>
        <w:numPr>
          <w:ilvl w:val="0"/>
          <w:numId w:val="7"/>
        </w:numPr>
        <w:spacing w:after="60" w:line="254" w:lineRule="auto"/>
      </w:pPr>
      <w:r>
        <w:rPr>
          <w:rFonts w:ascii="Cambria" w:hAnsi="Cambria"/>
          <w:sz w:val="20"/>
        </w:rPr>
        <w:t>Upload the file through IFileStorageService and store only file metadata/path in UploadedDataFiles.</w:t>
      </w:r>
    </w:p>
    <w:p w14:paraId="08177CAE">
      <w:pPr>
        <w:pStyle w:val="29"/>
        <w:numPr>
          <w:ilvl w:val="0"/>
          <w:numId w:val="7"/>
        </w:numPr>
        <w:spacing w:after="60" w:line="254" w:lineRule="auto"/>
      </w:pPr>
      <w:r>
        <w:rPr>
          <w:rFonts w:ascii="Cambria" w:hAnsi="Cambria"/>
          <w:sz w:val="20"/>
        </w:rPr>
        <w:t>Create a DataImport configuration with mode, duplicate behavior, delimiter, worksheet and optional keys.</w:t>
      </w:r>
    </w:p>
    <w:p w14:paraId="1DB86944">
      <w:pPr>
        <w:pStyle w:val="29"/>
        <w:numPr>
          <w:ilvl w:val="0"/>
          <w:numId w:val="7"/>
        </w:numPr>
        <w:spacing w:after="60" w:line="254" w:lineRule="auto"/>
      </w:pPr>
      <w:r>
        <w:rPr>
          <w:rFonts w:ascii="Cambria" w:hAnsi="Cambria"/>
          <w:sz w:val="20"/>
        </w:rPr>
        <w:t>Start the import; a serializable transaction verifies that the dataset has no other Queued or Processing import.</w:t>
      </w:r>
    </w:p>
    <w:p w14:paraId="532D93E6">
      <w:pPr>
        <w:pStyle w:val="29"/>
        <w:numPr>
          <w:ilvl w:val="0"/>
          <w:numId w:val="7"/>
        </w:numPr>
        <w:spacing w:after="60" w:line="254" w:lineRule="auto"/>
      </w:pPr>
      <w:r>
        <w:rPr>
          <w:rFonts w:ascii="Cambria" w:hAnsi="Cambria"/>
          <w:sz w:val="20"/>
        </w:rPr>
        <w:t>Enqueue the import ID in a Channel&lt;Guid&gt;; ImportBackgroundService resolves a scoped IImportProcessor.</w:t>
      </w:r>
    </w:p>
    <w:p w14:paraId="4D127DCC">
      <w:pPr>
        <w:pStyle w:val="29"/>
        <w:numPr>
          <w:ilvl w:val="0"/>
          <w:numId w:val="7"/>
        </w:numPr>
        <w:spacing w:after="60" w:line="254" w:lineRule="auto"/>
      </w:pPr>
      <w:r>
        <w:rPr>
          <w:rFonts w:ascii="Cambria" w:hAnsi="Cambria"/>
          <w:sz w:val="20"/>
        </w:rPr>
        <w:t>Read the selected CSV/XLSX content, validate headers/schema and infer types for a first-time schema.</w:t>
      </w:r>
    </w:p>
    <w:p w14:paraId="5A913AA1">
      <w:pPr>
        <w:pStyle w:val="29"/>
        <w:numPr>
          <w:ilvl w:val="0"/>
          <w:numId w:val="7"/>
        </w:numPr>
        <w:spacing w:after="60" w:line="254" w:lineRule="auto"/>
      </w:pPr>
      <w:r>
        <w:rPr>
          <w:rFonts w:ascii="Cambria" w:hAnsi="Cambria"/>
          <w:sz w:val="20"/>
        </w:rPr>
        <w:t>Write raw staging rows/values, key hashes and detailed validation/duplicate errors.</w:t>
      </w:r>
    </w:p>
    <w:p w14:paraId="447CBDA6">
      <w:pPr>
        <w:pStyle w:val="29"/>
        <w:numPr>
          <w:ilvl w:val="0"/>
          <w:numId w:val="7"/>
        </w:numPr>
        <w:spacing w:after="60" w:line="254" w:lineRule="auto"/>
      </w:pPr>
      <w:r>
        <w:rPr>
          <w:rFonts w:ascii="Cambria" w:hAnsi="Cambria"/>
          <w:sz w:val="20"/>
        </w:rPr>
        <w:t>Within a database transaction, replace records for Full mode or insert/update records for Append mode.</w:t>
      </w:r>
    </w:p>
    <w:p w14:paraId="39A43A15">
      <w:pPr>
        <w:pStyle w:val="29"/>
        <w:numPr>
          <w:ilvl w:val="0"/>
          <w:numId w:val="7"/>
        </w:numPr>
        <w:spacing w:after="60" w:line="254" w:lineRule="auto"/>
      </w:pPr>
      <w:r>
        <w:rPr>
          <w:rFonts w:ascii="Cambria" w:hAnsi="Cambria"/>
          <w:sz w:val="20"/>
        </w:rPr>
        <w:t>Publish terminal status and counts, persist audit entries and expose details/history/errors to authorized users.</w:t>
      </w:r>
    </w:p>
    <w:p w14:paraId="2C500B15">
      <w:pPr>
        <w:pStyle w:val="4"/>
        <w:keepNext/>
      </w:pPr>
      <w:r>
        <w:t>Component Responsibilities</w:t>
      </w:r>
    </w:p>
    <w:tbl>
      <w:tblPr>
        <w:tblStyle w:val="12"/>
        <w:tblW w:w="8640" w:type="dxa"/>
        <w:tblInd w:w="0" w:type="dxa"/>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Layout w:type="fixed"/>
        <w:tblCellMar>
          <w:top w:w="0" w:type="dxa"/>
          <w:left w:w="108" w:type="dxa"/>
          <w:bottom w:w="0" w:type="dxa"/>
          <w:right w:w="108" w:type="dxa"/>
        </w:tblCellMar>
      </w:tblPr>
      <w:tblGrid>
        <w:gridCol w:w="1200"/>
        <w:gridCol w:w="2220"/>
        <w:gridCol w:w="5220"/>
      </w:tblGrid>
      <w:tr w14:paraId="50FF6661">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blHeader/>
        </w:trPr>
        <w:tc>
          <w:tcPr>
            <w:tcW w:w="1200" w:type="dxa"/>
            <w:shd w:val="clear" w:color="auto" w:fill="365F91"/>
            <w:tcMar>
              <w:top w:w="100" w:type="dxa"/>
              <w:left w:w="120" w:type="dxa"/>
              <w:bottom w:w="100" w:type="dxa"/>
              <w:right w:w="120" w:type="dxa"/>
            </w:tcMar>
            <w:vAlign w:val="center"/>
          </w:tcPr>
          <w:p w14:paraId="3B47E43E">
            <w:pPr>
              <w:keepNext/>
              <w:spacing w:after="0" w:line="240" w:lineRule="auto"/>
              <w:jc w:val="left"/>
            </w:pPr>
            <w:r>
              <w:rPr>
                <w:rFonts w:ascii="Calibri" w:hAnsi="Calibri"/>
                <w:b/>
                <w:color w:val="FFFFFF"/>
                <w:sz w:val="16"/>
              </w:rPr>
              <w:t>Layer</w:t>
            </w:r>
          </w:p>
        </w:tc>
        <w:tc>
          <w:tcPr>
            <w:tcW w:w="2220" w:type="dxa"/>
            <w:shd w:val="clear" w:color="auto" w:fill="365F91"/>
            <w:tcMar>
              <w:top w:w="100" w:type="dxa"/>
              <w:left w:w="120" w:type="dxa"/>
              <w:bottom w:w="100" w:type="dxa"/>
              <w:right w:w="120" w:type="dxa"/>
            </w:tcMar>
            <w:vAlign w:val="center"/>
          </w:tcPr>
          <w:p w14:paraId="66BB8CA9">
            <w:pPr>
              <w:keepNext/>
              <w:spacing w:after="0" w:line="240" w:lineRule="auto"/>
              <w:jc w:val="left"/>
            </w:pPr>
            <w:r>
              <w:rPr>
                <w:rFonts w:ascii="Calibri" w:hAnsi="Calibri"/>
                <w:b/>
                <w:color w:val="FFFFFF"/>
                <w:sz w:val="16"/>
              </w:rPr>
              <w:t>Component</w:t>
            </w:r>
          </w:p>
        </w:tc>
        <w:tc>
          <w:tcPr>
            <w:tcW w:w="5220" w:type="dxa"/>
            <w:shd w:val="clear" w:color="auto" w:fill="365F91"/>
            <w:tcMar>
              <w:top w:w="100" w:type="dxa"/>
              <w:left w:w="120" w:type="dxa"/>
              <w:bottom w:w="100" w:type="dxa"/>
              <w:right w:w="120" w:type="dxa"/>
            </w:tcMar>
            <w:vAlign w:val="center"/>
          </w:tcPr>
          <w:p w14:paraId="54F69026">
            <w:pPr>
              <w:keepNext/>
              <w:spacing w:after="0" w:line="240" w:lineRule="auto"/>
              <w:jc w:val="left"/>
            </w:pPr>
            <w:r>
              <w:rPr>
                <w:rFonts w:ascii="Calibri" w:hAnsi="Calibri"/>
                <w:b/>
                <w:color w:val="FFFFFF"/>
                <w:sz w:val="16"/>
              </w:rPr>
              <w:t>Responsibility</w:t>
            </w:r>
          </w:p>
        </w:tc>
      </w:tr>
      <w:tr w14:paraId="148AF65E">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1200" w:type="dxa"/>
            <w:tcMar>
              <w:top w:w="100" w:type="dxa"/>
              <w:left w:w="120" w:type="dxa"/>
              <w:bottom w:w="100" w:type="dxa"/>
              <w:right w:w="120" w:type="dxa"/>
            </w:tcMar>
            <w:vAlign w:val="center"/>
          </w:tcPr>
          <w:p w14:paraId="6F9CBC53">
            <w:pPr>
              <w:keepNext/>
              <w:spacing w:after="0" w:line="247" w:lineRule="auto"/>
            </w:pPr>
            <w:r>
              <w:rPr>
                <w:rFonts w:ascii="Cambria" w:hAnsi="Cambria"/>
                <w:sz w:val="16"/>
              </w:rPr>
              <w:t>API</w:t>
            </w:r>
          </w:p>
        </w:tc>
        <w:tc>
          <w:tcPr>
            <w:tcW w:w="2220" w:type="dxa"/>
            <w:tcMar>
              <w:top w:w="100" w:type="dxa"/>
              <w:left w:w="120" w:type="dxa"/>
              <w:bottom w:w="100" w:type="dxa"/>
              <w:right w:w="120" w:type="dxa"/>
            </w:tcMar>
            <w:vAlign w:val="center"/>
          </w:tcPr>
          <w:p w14:paraId="38756670">
            <w:pPr>
              <w:keepNext/>
              <w:spacing w:after="0" w:line="247" w:lineRule="auto"/>
            </w:pPr>
            <w:r>
              <w:rPr>
                <w:rFonts w:ascii="Cambria" w:hAnsi="Cambria"/>
                <w:sz w:val="16"/>
              </w:rPr>
              <w:t>ImportsController</w:t>
            </w:r>
          </w:p>
        </w:tc>
        <w:tc>
          <w:tcPr>
            <w:tcW w:w="5220" w:type="dxa"/>
            <w:tcMar>
              <w:top w:w="100" w:type="dxa"/>
              <w:left w:w="120" w:type="dxa"/>
              <w:bottom w:w="100" w:type="dxa"/>
              <w:right w:w="120" w:type="dxa"/>
            </w:tcMar>
            <w:vAlign w:val="center"/>
          </w:tcPr>
          <w:p w14:paraId="0A982FB8">
            <w:pPr>
              <w:keepNext/>
              <w:spacing w:after="0" w:line="247" w:lineRule="auto"/>
            </w:pPr>
            <w:r>
              <w:rPr>
                <w:rFonts w:ascii="Cambria" w:hAnsi="Cambria"/>
                <w:sz w:val="16"/>
              </w:rPr>
              <w:t>Nine secured endpoints for upload, creation, start, status, history, errors, cancel and schema management.</w:t>
            </w:r>
          </w:p>
        </w:tc>
      </w:tr>
      <w:tr w14:paraId="7480DB24">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1200" w:type="dxa"/>
            <w:shd w:val="clear" w:color="auto" w:fill="F5F9FC"/>
            <w:tcMar>
              <w:top w:w="100" w:type="dxa"/>
              <w:left w:w="120" w:type="dxa"/>
              <w:bottom w:w="100" w:type="dxa"/>
              <w:right w:w="120" w:type="dxa"/>
            </w:tcMar>
            <w:vAlign w:val="center"/>
          </w:tcPr>
          <w:p w14:paraId="79DEFD24">
            <w:pPr>
              <w:keepNext/>
              <w:spacing w:after="0" w:line="247" w:lineRule="auto"/>
            </w:pPr>
            <w:r>
              <w:rPr>
                <w:rFonts w:ascii="Cambria" w:hAnsi="Cambria"/>
                <w:sz w:val="16"/>
              </w:rPr>
              <w:t>Orchestration</w:t>
            </w:r>
          </w:p>
        </w:tc>
        <w:tc>
          <w:tcPr>
            <w:tcW w:w="2220" w:type="dxa"/>
            <w:shd w:val="clear" w:color="auto" w:fill="F5F9FC"/>
            <w:tcMar>
              <w:top w:w="100" w:type="dxa"/>
              <w:left w:w="120" w:type="dxa"/>
              <w:bottom w:w="100" w:type="dxa"/>
              <w:right w:w="120" w:type="dxa"/>
            </w:tcMar>
            <w:vAlign w:val="center"/>
          </w:tcPr>
          <w:p w14:paraId="3DF2E322">
            <w:pPr>
              <w:keepNext/>
              <w:spacing w:after="0" w:line="247" w:lineRule="auto"/>
            </w:pPr>
            <w:r>
              <w:rPr>
                <w:rFonts w:ascii="Cambria" w:hAnsi="Cambria"/>
                <w:sz w:val="16"/>
              </w:rPr>
              <w:t>ImportService</w:t>
            </w:r>
          </w:p>
        </w:tc>
        <w:tc>
          <w:tcPr>
            <w:tcW w:w="5220" w:type="dxa"/>
            <w:shd w:val="clear" w:color="auto" w:fill="F5F9FC"/>
            <w:tcMar>
              <w:top w:w="100" w:type="dxa"/>
              <w:left w:w="120" w:type="dxa"/>
              <w:bottom w:w="100" w:type="dxa"/>
              <w:right w:w="120" w:type="dxa"/>
            </w:tcMar>
            <w:vAlign w:val="center"/>
          </w:tcPr>
          <w:p w14:paraId="6FF0C8FC">
            <w:pPr>
              <w:keepNext/>
              <w:spacing w:after="0" w:line="247" w:lineRule="auto"/>
            </w:pPr>
            <w:r>
              <w:rPr>
                <w:rFonts w:ascii="Cambria" w:hAnsi="Cambria"/>
                <w:sz w:val="16"/>
              </w:rPr>
              <w:t>Validates requests, creates configurations, enforces active-import rules, queues jobs and projects responses.</w:t>
            </w:r>
          </w:p>
        </w:tc>
      </w:tr>
      <w:tr w14:paraId="1709EDDF">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1200" w:type="dxa"/>
            <w:tcMar>
              <w:top w:w="100" w:type="dxa"/>
              <w:left w:w="120" w:type="dxa"/>
              <w:bottom w:w="100" w:type="dxa"/>
              <w:right w:w="120" w:type="dxa"/>
            </w:tcMar>
            <w:vAlign w:val="center"/>
          </w:tcPr>
          <w:p w14:paraId="0FE53B81">
            <w:pPr>
              <w:keepNext/>
              <w:spacing w:after="0" w:line="247" w:lineRule="auto"/>
            </w:pPr>
            <w:r>
              <w:rPr>
                <w:rFonts w:ascii="Cambria" w:hAnsi="Cambria"/>
                <w:sz w:val="16"/>
              </w:rPr>
              <w:t>Storage</w:t>
            </w:r>
          </w:p>
        </w:tc>
        <w:tc>
          <w:tcPr>
            <w:tcW w:w="2220" w:type="dxa"/>
            <w:tcMar>
              <w:top w:w="100" w:type="dxa"/>
              <w:left w:w="120" w:type="dxa"/>
              <w:bottom w:w="100" w:type="dxa"/>
              <w:right w:w="120" w:type="dxa"/>
            </w:tcMar>
            <w:vAlign w:val="center"/>
          </w:tcPr>
          <w:p w14:paraId="19FE47EE">
            <w:pPr>
              <w:keepNext/>
              <w:spacing w:after="0" w:line="247" w:lineRule="auto"/>
            </w:pPr>
            <w:r>
              <w:rPr>
                <w:rFonts w:ascii="Cambria" w:hAnsi="Cambria"/>
                <w:sz w:val="16"/>
              </w:rPr>
              <w:t>LocalFileStorageService</w:t>
            </w:r>
          </w:p>
        </w:tc>
        <w:tc>
          <w:tcPr>
            <w:tcW w:w="5220" w:type="dxa"/>
            <w:tcMar>
              <w:top w:w="100" w:type="dxa"/>
              <w:left w:w="120" w:type="dxa"/>
              <w:bottom w:w="100" w:type="dxa"/>
              <w:right w:w="120" w:type="dxa"/>
            </w:tcMar>
            <w:vAlign w:val="center"/>
          </w:tcPr>
          <w:p w14:paraId="591F53A8">
            <w:pPr>
              <w:keepNext/>
              <w:spacing w:after="0" w:line="247" w:lineRule="auto"/>
            </w:pPr>
            <w:r>
              <w:rPr>
                <w:rFonts w:ascii="Cambria" w:hAnsi="Cambria"/>
                <w:sz w:val="16"/>
              </w:rPr>
              <w:t>Stores files under workspace/dataset folders behind IFileStorageService for future provider replacement.</w:t>
            </w:r>
          </w:p>
        </w:tc>
      </w:tr>
      <w:tr w14:paraId="630D3607">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1200" w:type="dxa"/>
            <w:shd w:val="clear" w:color="auto" w:fill="F5F9FC"/>
            <w:tcMar>
              <w:top w:w="100" w:type="dxa"/>
              <w:left w:w="120" w:type="dxa"/>
              <w:bottom w:w="100" w:type="dxa"/>
              <w:right w:w="120" w:type="dxa"/>
            </w:tcMar>
            <w:vAlign w:val="center"/>
          </w:tcPr>
          <w:p w14:paraId="47E86B5D">
            <w:pPr>
              <w:keepNext/>
              <w:spacing w:after="0" w:line="247" w:lineRule="auto"/>
            </w:pPr>
            <w:r>
              <w:rPr>
                <w:rFonts w:ascii="Cambria" w:hAnsi="Cambria"/>
                <w:sz w:val="16"/>
              </w:rPr>
              <w:t>Parsing</w:t>
            </w:r>
          </w:p>
        </w:tc>
        <w:tc>
          <w:tcPr>
            <w:tcW w:w="2220" w:type="dxa"/>
            <w:shd w:val="clear" w:color="auto" w:fill="F5F9FC"/>
            <w:tcMar>
              <w:top w:w="100" w:type="dxa"/>
              <w:left w:w="120" w:type="dxa"/>
              <w:bottom w:w="100" w:type="dxa"/>
              <w:right w:w="120" w:type="dxa"/>
            </w:tcMar>
            <w:vAlign w:val="center"/>
          </w:tcPr>
          <w:p w14:paraId="31354F60">
            <w:pPr>
              <w:keepNext/>
              <w:spacing w:after="0" w:line="247" w:lineRule="auto"/>
            </w:pPr>
            <w:r>
              <w:rPr>
                <w:rFonts w:ascii="Cambria" w:hAnsi="Cambria"/>
                <w:sz w:val="16"/>
              </w:rPr>
              <w:t>ImportFileReader</w:t>
            </w:r>
          </w:p>
        </w:tc>
        <w:tc>
          <w:tcPr>
            <w:tcW w:w="5220" w:type="dxa"/>
            <w:shd w:val="clear" w:color="auto" w:fill="F5F9FC"/>
            <w:tcMar>
              <w:top w:w="100" w:type="dxa"/>
              <w:left w:w="120" w:type="dxa"/>
              <w:bottom w:w="100" w:type="dxa"/>
              <w:right w:w="120" w:type="dxa"/>
            </w:tcMar>
            <w:vAlign w:val="center"/>
          </w:tcPr>
          <w:p w14:paraId="76DAF7E3">
            <w:pPr>
              <w:keepNext/>
              <w:spacing w:after="0" w:line="247" w:lineRule="auto"/>
            </w:pPr>
            <w:r>
              <w:rPr>
                <w:rFonts w:ascii="Cambria" w:hAnsi="Cambria"/>
                <w:sz w:val="16"/>
              </w:rPr>
              <w:t>Reads delimited CSV and Open XML workbooks; discovers and selects worksheets.</w:t>
            </w:r>
          </w:p>
        </w:tc>
      </w:tr>
      <w:tr w14:paraId="4DE42ED8">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1200" w:type="dxa"/>
            <w:tcMar>
              <w:top w:w="100" w:type="dxa"/>
              <w:left w:w="120" w:type="dxa"/>
              <w:bottom w:w="100" w:type="dxa"/>
              <w:right w:w="120" w:type="dxa"/>
            </w:tcMar>
            <w:vAlign w:val="center"/>
          </w:tcPr>
          <w:p w14:paraId="632ED0B1">
            <w:pPr>
              <w:keepNext/>
              <w:spacing w:after="0" w:line="247" w:lineRule="auto"/>
            </w:pPr>
            <w:r>
              <w:rPr>
                <w:rFonts w:ascii="Cambria" w:hAnsi="Cambria"/>
                <w:sz w:val="16"/>
              </w:rPr>
              <w:t>Queue</w:t>
            </w:r>
          </w:p>
        </w:tc>
        <w:tc>
          <w:tcPr>
            <w:tcW w:w="2220" w:type="dxa"/>
            <w:tcMar>
              <w:top w:w="100" w:type="dxa"/>
              <w:left w:w="120" w:type="dxa"/>
              <w:bottom w:w="100" w:type="dxa"/>
              <w:right w:w="120" w:type="dxa"/>
            </w:tcMar>
            <w:vAlign w:val="center"/>
          </w:tcPr>
          <w:p w14:paraId="134229E8">
            <w:pPr>
              <w:keepNext/>
              <w:spacing w:after="0" w:line="247" w:lineRule="auto"/>
            </w:pPr>
            <w:r>
              <w:rPr>
                <w:rFonts w:ascii="Cambria" w:hAnsi="Cambria"/>
                <w:sz w:val="16"/>
              </w:rPr>
              <w:t>ImportJobQueue</w:t>
            </w:r>
          </w:p>
        </w:tc>
        <w:tc>
          <w:tcPr>
            <w:tcW w:w="5220" w:type="dxa"/>
            <w:tcMar>
              <w:top w:w="100" w:type="dxa"/>
              <w:left w:w="120" w:type="dxa"/>
              <w:bottom w:w="100" w:type="dxa"/>
              <w:right w:w="120" w:type="dxa"/>
            </w:tcMar>
            <w:vAlign w:val="center"/>
          </w:tcPr>
          <w:p w14:paraId="6872025B">
            <w:pPr>
              <w:keepNext/>
              <w:spacing w:after="0" w:line="247" w:lineRule="auto"/>
            </w:pPr>
            <w:r>
              <w:rPr>
                <w:rFonts w:ascii="Cambria" w:hAnsi="Cambria"/>
                <w:sz w:val="16"/>
              </w:rPr>
              <w:t>Uses an unbounded Channel&lt;Guid&gt; to decouple start requests from processing.</w:t>
            </w:r>
          </w:p>
        </w:tc>
      </w:tr>
      <w:tr w14:paraId="432995C5">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1200" w:type="dxa"/>
            <w:shd w:val="clear" w:color="auto" w:fill="F5F9FC"/>
            <w:tcMar>
              <w:top w:w="100" w:type="dxa"/>
              <w:left w:w="120" w:type="dxa"/>
              <w:bottom w:w="100" w:type="dxa"/>
              <w:right w:w="120" w:type="dxa"/>
            </w:tcMar>
            <w:vAlign w:val="center"/>
          </w:tcPr>
          <w:p w14:paraId="6E0DD1D9">
            <w:pPr>
              <w:keepNext/>
              <w:spacing w:after="0" w:line="247" w:lineRule="auto"/>
            </w:pPr>
            <w:r>
              <w:rPr>
                <w:rFonts w:ascii="Cambria" w:hAnsi="Cambria"/>
                <w:sz w:val="16"/>
              </w:rPr>
              <w:t>Worker</w:t>
            </w:r>
          </w:p>
        </w:tc>
        <w:tc>
          <w:tcPr>
            <w:tcW w:w="2220" w:type="dxa"/>
            <w:shd w:val="clear" w:color="auto" w:fill="F5F9FC"/>
            <w:tcMar>
              <w:top w:w="100" w:type="dxa"/>
              <w:left w:w="120" w:type="dxa"/>
              <w:bottom w:w="100" w:type="dxa"/>
              <w:right w:w="120" w:type="dxa"/>
            </w:tcMar>
            <w:vAlign w:val="center"/>
          </w:tcPr>
          <w:p w14:paraId="50DE354E">
            <w:pPr>
              <w:keepNext/>
              <w:spacing w:after="0" w:line="247" w:lineRule="auto"/>
            </w:pPr>
            <w:r>
              <w:rPr>
                <w:rFonts w:ascii="Cambria" w:hAnsi="Cambria"/>
                <w:sz w:val="16"/>
              </w:rPr>
              <w:t>ImportBackgroundService</w:t>
            </w:r>
          </w:p>
        </w:tc>
        <w:tc>
          <w:tcPr>
            <w:tcW w:w="5220" w:type="dxa"/>
            <w:shd w:val="clear" w:color="auto" w:fill="F5F9FC"/>
            <w:tcMar>
              <w:top w:w="100" w:type="dxa"/>
              <w:left w:w="120" w:type="dxa"/>
              <w:bottom w:w="100" w:type="dxa"/>
              <w:right w:w="120" w:type="dxa"/>
            </w:tcMar>
            <w:vAlign w:val="center"/>
          </w:tcPr>
          <w:p w14:paraId="3AEDAA3E">
            <w:pPr>
              <w:keepNext/>
              <w:spacing w:after="0" w:line="247" w:lineRule="auto"/>
            </w:pPr>
            <w:r>
              <w:rPr>
                <w:rFonts w:ascii="Cambria" w:hAnsi="Cambria"/>
                <w:sz w:val="16"/>
              </w:rPr>
              <w:t>Consumes queued import IDs and creates a scoped processor for each job.</w:t>
            </w:r>
          </w:p>
        </w:tc>
      </w:tr>
      <w:tr w14:paraId="6B4988F6">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1200" w:type="dxa"/>
            <w:tcMar>
              <w:top w:w="100" w:type="dxa"/>
              <w:left w:w="120" w:type="dxa"/>
              <w:bottom w:w="100" w:type="dxa"/>
              <w:right w:w="120" w:type="dxa"/>
            </w:tcMar>
            <w:vAlign w:val="center"/>
          </w:tcPr>
          <w:p w14:paraId="20544AE8">
            <w:pPr>
              <w:keepNext/>
              <w:spacing w:after="0" w:line="247" w:lineRule="auto"/>
            </w:pPr>
            <w:r>
              <w:rPr>
                <w:rFonts w:ascii="Cambria" w:hAnsi="Cambria"/>
                <w:sz w:val="16"/>
              </w:rPr>
              <w:t>Processing</w:t>
            </w:r>
          </w:p>
        </w:tc>
        <w:tc>
          <w:tcPr>
            <w:tcW w:w="2220" w:type="dxa"/>
            <w:tcMar>
              <w:top w:w="100" w:type="dxa"/>
              <w:left w:w="120" w:type="dxa"/>
              <w:bottom w:w="100" w:type="dxa"/>
              <w:right w:w="120" w:type="dxa"/>
            </w:tcMar>
            <w:vAlign w:val="center"/>
          </w:tcPr>
          <w:p w14:paraId="24CD9354">
            <w:pPr>
              <w:keepNext/>
              <w:spacing w:after="0" w:line="247" w:lineRule="auto"/>
            </w:pPr>
            <w:r>
              <w:rPr>
                <w:rFonts w:ascii="Cambria" w:hAnsi="Cambria"/>
                <w:sz w:val="16"/>
              </w:rPr>
              <w:t>ImportProcessor</w:t>
            </w:r>
          </w:p>
        </w:tc>
        <w:tc>
          <w:tcPr>
            <w:tcW w:w="5220" w:type="dxa"/>
            <w:tcMar>
              <w:top w:w="100" w:type="dxa"/>
              <w:left w:w="120" w:type="dxa"/>
              <w:bottom w:w="100" w:type="dxa"/>
              <w:right w:w="120" w:type="dxa"/>
            </w:tcMar>
            <w:vAlign w:val="center"/>
          </w:tcPr>
          <w:p w14:paraId="53D287C9">
            <w:pPr>
              <w:keepNext/>
              <w:spacing w:after="0" w:line="247" w:lineRule="auto"/>
            </w:pPr>
            <w:r>
              <w:rPr>
                <w:rFonts w:ascii="Cambria" w:hAnsi="Cambria"/>
                <w:sz w:val="16"/>
              </w:rPr>
              <w:t>Validates schema, stages rows, detects duplicates, commits records and sets terminal status.</w:t>
            </w:r>
          </w:p>
        </w:tc>
      </w:tr>
      <w:tr w14:paraId="3AC52D67">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1200" w:type="dxa"/>
            <w:shd w:val="clear" w:color="auto" w:fill="F5F9FC"/>
            <w:tcMar>
              <w:top w:w="100" w:type="dxa"/>
              <w:left w:w="120" w:type="dxa"/>
              <w:bottom w:w="100" w:type="dxa"/>
              <w:right w:w="120" w:type="dxa"/>
            </w:tcMar>
            <w:vAlign w:val="center"/>
          </w:tcPr>
          <w:p w14:paraId="7896220A">
            <w:pPr>
              <w:keepNext/>
              <w:spacing w:after="0" w:line="247" w:lineRule="auto"/>
            </w:pPr>
            <w:r>
              <w:rPr>
                <w:rFonts w:ascii="Cambria" w:hAnsi="Cambria"/>
                <w:sz w:val="16"/>
              </w:rPr>
              <w:t>Cancellation</w:t>
            </w:r>
          </w:p>
        </w:tc>
        <w:tc>
          <w:tcPr>
            <w:tcW w:w="2220" w:type="dxa"/>
            <w:shd w:val="clear" w:color="auto" w:fill="F5F9FC"/>
            <w:tcMar>
              <w:top w:w="100" w:type="dxa"/>
              <w:left w:w="120" w:type="dxa"/>
              <w:bottom w:w="100" w:type="dxa"/>
              <w:right w:w="120" w:type="dxa"/>
            </w:tcMar>
            <w:vAlign w:val="center"/>
          </w:tcPr>
          <w:p w14:paraId="14917C00">
            <w:pPr>
              <w:keepNext/>
              <w:spacing w:after="0" w:line="247" w:lineRule="auto"/>
            </w:pPr>
            <w:r>
              <w:rPr>
                <w:rFonts w:ascii="Cambria" w:hAnsi="Cambria"/>
                <w:sz w:val="16"/>
              </w:rPr>
              <w:t>ImportCancellationRegistry</w:t>
            </w:r>
          </w:p>
        </w:tc>
        <w:tc>
          <w:tcPr>
            <w:tcW w:w="5220" w:type="dxa"/>
            <w:shd w:val="clear" w:color="auto" w:fill="F5F9FC"/>
            <w:tcMar>
              <w:top w:w="100" w:type="dxa"/>
              <w:left w:w="120" w:type="dxa"/>
              <w:bottom w:w="100" w:type="dxa"/>
              <w:right w:w="120" w:type="dxa"/>
            </w:tcMar>
            <w:vAlign w:val="center"/>
          </w:tcPr>
          <w:p w14:paraId="1C11E0A1">
            <w:pPr>
              <w:keepNext/>
              <w:spacing w:after="0" w:line="247" w:lineRule="auto"/>
            </w:pPr>
            <w:r>
              <w:rPr>
                <w:rFonts w:ascii="Cambria" w:hAnsi="Cambria"/>
                <w:sz w:val="16"/>
              </w:rPr>
              <w:t>Coordinates linked cancellation tokens for actively processing imports.</w:t>
            </w:r>
          </w:p>
        </w:tc>
      </w:tr>
      <w:tr w14:paraId="0FE84BBF">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1200" w:type="dxa"/>
            <w:tcMar>
              <w:top w:w="100" w:type="dxa"/>
              <w:left w:w="120" w:type="dxa"/>
              <w:bottom w:w="100" w:type="dxa"/>
              <w:right w:w="120" w:type="dxa"/>
            </w:tcMar>
            <w:vAlign w:val="center"/>
          </w:tcPr>
          <w:p w14:paraId="498683CC">
            <w:pPr>
              <w:spacing w:after="0" w:line="247" w:lineRule="auto"/>
            </w:pPr>
            <w:r>
              <w:rPr>
                <w:rFonts w:ascii="Cambria" w:hAnsi="Cambria"/>
                <w:sz w:val="16"/>
              </w:rPr>
              <w:t>Persistence</w:t>
            </w:r>
          </w:p>
        </w:tc>
        <w:tc>
          <w:tcPr>
            <w:tcW w:w="2220" w:type="dxa"/>
            <w:tcMar>
              <w:top w:w="100" w:type="dxa"/>
              <w:left w:w="120" w:type="dxa"/>
              <w:bottom w:w="100" w:type="dxa"/>
              <w:right w:w="120" w:type="dxa"/>
            </w:tcMar>
            <w:vAlign w:val="center"/>
          </w:tcPr>
          <w:p w14:paraId="3A0412E1">
            <w:pPr>
              <w:spacing w:after="0" w:line="247" w:lineRule="auto"/>
            </w:pPr>
            <w:r>
              <w:rPr>
                <w:rFonts w:ascii="Cambria" w:hAnsi="Cambria"/>
                <w:sz w:val="16"/>
              </w:rPr>
              <w:t>AppDbContext</w:t>
            </w:r>
          </w:p>
        </w:tc>
        <w:tc>
          <w:tcPr>
            <w:tcW w:w="5220" w:type="dxa"/>
            <w:tcMar>
              <w:top w:w="100" w:type="dxa"/>
              <w:left w:w="120" w:type="dxa"/>
              <w:bottom w:w="100" w:type="dxa"/>
              <w:right w:w="120" w:type="dxa"/>
            </w:tcMar>
            <w:vAlign w:val="center"/>
          </w:tcPr>
          <w:p w14:paraId="0EB61447">
            <w:pPr>
              <w:spacing w:after="0" w:line="247" w:lineRule="auto"/>
            </w:pPr>
            <w:r>
              <w:rPr>
                <w:rFonts w:ascii="Cambria" w:hAnsi="Cambria"/>
                <w:sz w:val="16"/>
              </w:rPr>
              <w:t>Maps ingestion entities, relationships, indexes and workspace query filters.</w:t>
            </w:r>
          </w:p>
        </w:tc>
      </w:tr>
    </w:tbl>
    <w:p w14:paraId="7EF743E2">
      <w:pPr>
        <w:spacing w:after="40" w:line="120" w:lineRule="auto"/>
      </w:pPr>
    </w:p>
    <w:p w14:paraId="3361B675">
      <w:pPr>
        <w:pStyle w:val="3"/>
        <w:keepNext/>
      </w:pPr>
      <w:r>
        <w:t>4. Functional Design</w:t>
      </w:r>
    </w:p>
    <w:p w14:paraId="74D485CC">
      <w:pPr>
        <w:pStyle w:val="4"/>
        <w:keepNext/>
      </w:pPr>
      <w:r>
        <w:t>4.1 File Handling and Validation</w:t>
      </w:r>
    </w:p>
    <w:p w14:paraId="37868D93">
      <w:pPr>
        <w:pStyle w:val="23"/>
        <w:spacing w:after="50" w:line="252" w:lineRule="auto"/>
      </w:pPr>
      <w:r>
        <w:rPr>
          <w:rFonts w:ascii="Cambria" w:hAnsi="Cambria"/>
          <w:sz w:val="20"/>
        </w:rPr>
        <w:t>Supported formats: .csv and .xlsx only.</w:t>
      </w:r>
    </w:p>
    <w:p w14:paraId="2C65C036">
      <w:pPr>
        <w:pStyle w:val="23"/>
        <w:spacing w:after="50" w:line="252" w:lineRule="auto"/>
      </w:pPr>
      <w:r>
        <w:rPr>
          <w:rFonts w:ascii="Cambria" w:hAnsi="Cambria"/>
          <w:sz w:val="20"/>
        </w:rPr>
        <w:t>Maximum request/file size: 25 MB; zero-byte files are rejected.</w:t>
      </w:r>
    </w:p>
    <w:p w14:paraId="56F033B8">
      <w:pPr>
        <w:pStyle w:val="23"/>
        <w:spacing w:after="50" w:line="252" w:lineRule="auto"/>
      </w:pPr>
      <w:r>
        <w:rPr>
          <w:rFonts w:ascii="Cambria" w:hAnsi="Cambria"/>
          <w:sz w:val="20"/>
        </w:rPr>
        <w:t>XLSX upload returns worksheet names, and creation requires a valid WorksheetName.</w:t>
      </w:r>
    </w:p>
    <w:p w14:paraId="7CF9E011">
      <w:pPr>
        <w:pStyle w:val="23"/>
        <w:spacing w:after="50" w:line="252" w:lineRule="auto"/>
      </w:pPr>
      <w:r>
        <w:rPr>
          <w:rFonts w:ascii="Cambria" w:hAnsi="Cambria"/>
          <w:sz w:val="20"/>
        </w:rPr>
        <w:t>CSV delimiter must contain exactly one character; quoted CSV fields are supported.</w:t>
      </w:r>
    </w:p>
    <w:p w14:paraId="6065BA27">
      <w:pPr>
        <w:pStyle w:val="23"/>
        <w:spacing w:after="50" w:line="252" w:lineRule="auto"/>
      </w:pPr>
      <w:r>
        <w:rPr>
          <w:rFonts w:ascii="Cambria" w:hAnsi="Cambria"/>
          <w:sz w:val="20"/>
        </w:rPr>
        <w:t>Empty files, blank headers and case-insensitive duplicate headers cause a critical failure.</w:t>
      </w:r>
    </w:p>
    <w:p w14:paraId="4157B3C7">
      <w:pPr>
        <w:pStyle w:val="23"/>
        <w:spacing w:after="50" w:line="252" w:lineRule="auto"/>
      </w:pPr>
      <w:r>
        <w:rPr>
          <w:rFonts w:ascii="Cambria" w:hAnsi="Cambria"/>
          <w:sz w:val="20"/>
        </w:rPr>
        <w:t>Archived datasets reject uploads, and files must belong to the target dataset.</w:t>
      </w:r>
    </w:p>
    <w:p w14:paraId="3B1EA51D">
      <w:pPr>
        <w:pStyle w:val="4"/>
        <w:keepNext/>
      </w:pPr>
      <w:r>
        <w:t>4.2 Import Configuration</w:t>
      </w:r>
    </w:p>
    <w:p w14:paraId="1EB28FC8">
      <w:pPr>
        <w:pStyle w:val="164"/>
        <w:widowControl/>
        <w:spacing w:before="0" w:after="120" w:line="269" w:lineRule="auto"/>
      </w:pPr>
      <w:r>
        <w:rPr>
          <w:rFonts w:ascii="Cambria" w:hAnsi="Cambria"/>
          <w:sz w:val="21"/>
        </w:rPr>
        <w:t>CreateImportRequest records FileId, ImportMode, DuplicateBehavior, CsvDelimiter, FirstRowContainsHeaders, WorksheetName and optional KeyColumns. The first successful import must use Full mode so that DatasetColumns can be established.</w:t>
      </w:r>
    </w:p>
    <w:p w14:paraId="3795C66A">
      <w:pPr>
        <w:pStyle w:val="165"/>
        <w:pBdr>
          <w:left w:val="single" w:color="4F81BD" w:sz="18" w:space="8"/>
        </w:pBdr>
        <w:shd w:val="clear" w:fill="F2F2F2"/>
        <w:spacing w:before="80" w:after="160" w:line="240" w:lineRule="auto"/>
        <w:ind w:left="216" w:right="72"/>
      </w:pPr>
      <w:r>
        <w:rPr>
          <w:rFonts w:ascii="Consolas" w:hAnsi="Consolas"/>
          <w:color w:val="263238"/>
          <w:sz w:val="16"/>
        </w:rPr>
        <w:t>{</w:t>
      </w:r>
      <w:r>
        <w:rPr>
          <w:rFonts w:ascii="Consolas" w:hAnsi="Consolas"/>
          <w:color w:val="263238"/>
          <w:sz w:val="16"/>
        </w:rPr>
        <w:br w:type="textWrapping"/>
      </w:r>
      <w:r>
        <w:rPr>
          <w:rFonts w:ascii="Consolas" w:hAnsi="Consolas"/>
          <w:color w:val="263238"/>
          <w:sz w:val="16"/>
        </w:rPr>
        <w:t xml:space="preserve">  "fileId": "11111111-2222-3333-4444-555555555555",</w:t>
      </w:r>
      <w:r>
        <w:rPr>
          <w:rFonts w:ascii="Consolas" w:hAnsi="Consolas"/>
          <w:color w:val="263238"/>
          <w:sz w:val="16"/>
        </w:rPr>
        <w:br w:type="textWrapping"/>
      </w:r>
      <w:r>
        <w:rPr>
          <w:rFonts w:ascii="Consolas" w:hAnsi="Consolas"/>
          <w:color w:val="263238"/>
          <w:sz w:val="16"/>
        </w:rPr>
        <w:t xml:space="preserve">  "importMode": "Full",</w:t>
      </w:r>
      <w:r>
        <w:rPr>
          <w:rFonts w:ascii="Consolas" w:hAnsi="Consolas"/>
          <w:color w:val="263238"/>
          <w:sz w:val="16"/>
        </w:rPr>
        <w:br w:type="textWrapping"/>
      </w:r>
      <w:r>
        <w:rPr>
          <w:rFonts w:ascii="Consolas" w:hAnsi="Consolas"/>
          <w:color w:val="263238"/>
          <w:sz w:val="16"/>
        </w:rPr>
        <w:t xml:space="preserve">  "duplicateBehavior": "Update",</w:t>
      </w:r>
      <w:r>
        <w:rPr>
          <w:rFonts w:ascii="Consolas" w:hAnsi="Consolas"/>
          <w:color w:val="263238"/>
          <w:sz w:val="16"/>
        </w:rPr>
        <w:br w:type="textWrapping"/>
      </w:r>
      <w:r>
        <w:rPr>
          <w:rFonts w:ascii="Consolas" w:hAnsi="Consolas"/>
          <w:color w:val="263238"/>
          <w:sz w:val="16"/>
        </w:rPr>
        <w:t xml:space="preserve">  "csvDelimiter": ",",</w:t>
      </w:r>
      <w:r>
        <w:rPr>
          <w:rFonts w:ascii="Consolas" w:hAnsi="Consolas"/>
          <w:color w:val="263238"/>
          <w:sz w:val="16"/>
        </w:rPr>
        <w:br w:type="textWrapping"/>
      </w:r>
      <w:r>
        <w:rPr>
          <w:rFonts w:ascii="Consolas" w:hAnsi="Consolas"/>
          <w:color w:val="263238"/>
          <w:sz w:val="16"/>
        </w:rPr>
        <w:t xml:space="preserve">  "firstRowContainsHeaders": true,</w:t>
      </w:r>
      <w:r>
        <w:rPr>
          <w:rFonts w:ascii="Consolas" w:hAnsi="Consolas"/>
          <w:color w:val="263238"/>
          <w:sz w:val="16"/>
        </w:rPr>
        <w:br w:type="textWrapping"/>
      </w:r>
      <w:r>
        <w:rPr>
          <w:rFonts w:ascii="Consolas" w:hAnsi="Consolas"/>
          <w:color w:val="263238"/>
          <w:sz w:val="16"/>
        </w:rPr>
        <w:t xml:space="preserve">  "worksheetName": "Customers",</w:t>
      </w:r>
      <w:r>
        <w:rPr>
          <w:rFonts w:ascii="Consolas" w:hAnsi="Consolas"/>
          <w:color w:val="263238"/>
          <w:sz w:val="16"/>
        </w:rPr>
        <w:br w:type="textWrapping"/>
      </w:r>
      <w:r>
        <w:rPr>
          <w:rFonts w:ascii="Consolas" w:hAnsi="Consolas"/>
          <w:color w:val="263238"/>
          <w:sz w:val="16"/>
        </w:rPr>
        <w:t xml:space="preserve">  "keyColumns": ["CustomerId"]</w:t>
      </w:r>
      <w:r>
        <w:rPr>
          <w:rFonts w:ascii="Consolas" w:hAnsi="Consolas"/>
          <w:color w:val="263238"/>
          <w:sz w:val="16"/>
        </w:rPr>
        <w:br w:type="textWrapping"/>
      </w:r>
      <w:r>
        <w:rPr>
          <w:rFonts w:ascii="Consolas" w:hAnsi="Consolas"/>
          <w:color w:val="263238"/>
          <w:sz w:val="16"/>
        </w:rPr>
        <w:t>}</w:t>
      </w:r>
    </w:p>
    <w:p w14:paraId="4A260EB2">
      <w:pPr>
        <w:pStyle w:val="4"/>
        <w:keepNext/>
      </w:pPr>
      <w:r>
        <w:t>4.3 Schema Strategy and Type Inference</w:t>
      </w:r>
    </w:p>
    <w:p w14:paraId="611D1384">
      <w:pPr>
        <w:pStyle w:val="23"/>
        <w:spacing w:after="50" w:line="252" w:lineRule="auto"/>
      </w:pPr>
      <w:r>
        <w:rPr>
          <w:rFonts w:ascii="Cambria" w:hAnsi="Cambria"/>
          <w:sz w:val="20"/>
        </w:rPr>
        <w:t>The first successful Full import establishes required DatasetColumns in source order.</w:t>
      </w:r>
    </w:p>
    <w:p w14:paraId="57C3DA15">
      <w:pPr>
        <w:pStyle w:val="23"/>
        <w:spacing w:after="50" w:line="252" w:lineRule="auto"/>
      </w:pPr>
      <w:r>
        <w:rPr>
          <w:rFonts w:ascii="Cambria" w:hAnsi="Cambria"/>
          <w:sz w:val="20"/>
        </w:rPr>
        <w:t>Non-empty values are inferred as Integer, Decimal, Boolean, DateTime or String using invariant-culture parsing.</w:t>
      </w:r>
    </w:p>
    <w:p w14:paraId="017CE359">
      <w:pPr>
        <w:pStyle w:val="23"/>
        <w:spacing w:after="50" w:line="252" w:lineRule="auto"/>
      </w:pPr>
      <w:r>
        <w:rPr>
          <w:rFonts w:ascii="Cambria" w:hAnsi="Cambria"/>
          <w:sz w:val="20"/>
        </w:rPr>
        <w:t>Later imports must provide the same case-insensitive column set; missing or additional headers fail the import.</w:t>
      </w:r>
    </w:p>
    <w:p w14:paraId="139D0F50">
      <w:pPr>
        <w:pStyle w:val="23"/>
        <w:spacing w:after="50" w:line="252" w:lineRule="auto"/>
      </w:pPr>
      <w:r>
        <w:rPr>
          <w:rFonts w:ascii="Cambria" w:hAnsi="Cambria"/>
          <w:sz w:val="20"/>
        </w:rPr>
        <w:t>Configured key names must exist. Later import key settings must match the dataset’s stored key columns.</w:t>
      </w:r>
    </w:p>
    <w:p w14:paraId="498B3B3D">
      <w:pPr>
        <w:pStyle w:val="23"/>
        <w:spacing w:after="50" w:line="252" w:lineRule="auto"/>
      </w:pPr>
      <w:r>
        <w:rPr>
          <w:rFonts w:ascii="Cambria" w:hAnsi="Cambria"/>
          <w:sz w:val="20"/>
        </w:rPr>
        <w:t>If no key is configured, a SHA-256 fingerprint of the complete trimmed row is used for exact-row duplicate detection.</w:t>
      </w:r>
    </w:p>
    <w:p w14:paraId="0B2A356A">
      <w:pPr>
        <w:pStyle w:val="4"/>
        <w:keepNext/>
      </w:pPr>
      <w:r>
        <w:t>4.4 Import Modes, Duplicates and Invalid Rows</w:t>
      </w:r>
    </w:p>
    <w:p w14:paraId="271B9758">
      <w:pPr>
        <w:pStyle w:val="164"/>
        <w:widowControl/>
        <w:spacing w:before="0" w:after="120" w:line="269" w:lineRule="auto"/>
      </w:pPr>
      <w:r>
        <w:rPr>
          <w:rFonts w:ascii="Cambria" w:hAnsi="Cambria"/>
          <w:sz w:val="21"/>
        </w:rPr>
        <w:t>Full mode replaces the dataset’s existing record/value rows only inside the final transaction. Append mode preserves existing records and inserts or updates matching keys according to the configured duplicate behavior. Invalid rows are skipped and recorded; structural errors fail the import.</w:t>
      </w:r>
    </w:p>
    <w:tbl>
      <w:tblPr>
        <w:tblStyle w:val="12"/>
        <w:tblW w:w="8640" w:type="dxa"/>
        <w:tblInd w:w="0" w:type="dxa"/>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Layout w:type="fixed"/>
        <w:tblCellMar>
          <w:top w:w="0" w:type="dxa"/>
          <w:left w:w="108" w:type="dxa"/>
          <w:bottom w:w="0" w:type="dxa"/>
          <w:right w:w="108" w:type="dxa"/>
        </w:tblCellMar>
      </w:tblPr>
      <w:tblGrid>
        <w:gridCol w:w="1600"/>
        <w:gridCol w:w="7040"/>
      </w:tblGrid>
      <w:tr w14:paraId="3BF36B1E">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blHeader/>
        </w:trPr>
        <w:tc>
          <w:tcPr>
            <w:tcW w:w="1600" w:type="dxa"/>
            <w:shd w:val="clear" w:color="auto" w:fill="365F91"/>
            <w:tcMar>
              <w:top w:w="100" w:type="dxa"/>
              <w:left w:w="120" w:type="dxa"/>
              <w:bottom w:w="100" w:type="dxa"/>
              <w:right w:w="120" w:type="dxa"/>
            </w:tcMar>
            <w:vAlign w:val="center"/>
          </w:tcPr>
          <w:p w14:paraId="6FE2D019">
            <w:pPr>
              <w:keepNext/>
              <w:spacing w:after="0" w:line="240" w:lineRule="auto"/>
              <w:jc w:val="left"/>
            </w:pPr>
            <w:r>
              <w:rPr>
                <w:rFonts w:ascii="Calibri" w:hAnsi="Calibri"/>
                <w:b/>
                <w:color w:val="FFFFFF"/>
                <w:sz w:val="18"/>
              </w:rPr>
              <w:t>Rule</w:t>
            </w:r>
          </w:p>
        </w:tc>
        <w:tc>
          <w:tcPr>
            <w:tcW w:w="7040" w:type="dxa"/>
            <w:shd w:val="clear" w:color="auto" w:fill="365F91"/>
            <w:tcMar>
              <w:top w:w="100" w:type="dxa"/>
              <w:left w:w="120" w:type="dxa"/>
              <w:bottom w:w="100" w:type="dxa"/>
              <w:right w:w="120" w:type="dxa"/>
            </w:tcMar>
            <w:vAlign w:val="center"/>
          </w:tcPr>
          <w:p w14:paraId="69EF2379">
            <w:pPr>
              <w:keepNext/>
              <w:spacing w:after="0" w:line="240" w:lineRule="auto"/>
              <w:jc w:val="left"/>
            </w:pPr>
            <w:r>
              <w:rPr>
                <w:rFonts w:ascii="Calibri" w:hAnsi="Calibri"/>
                <w:b/>
                <w:color w:val="FFFFFF"/>
                <w:sz w:val="18"/>
              </w:rPr>
              <w:t>Processing result</w:t>
            </w:r>
          </w:p>
        </w:tc>
      </w:tr>
      <w:tr w14:paraId="751BA4E6">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1600" w:type="dxa"/>
            <w:tcMar>
              <w:top w:w="100" w:type="dxa"/>
              <w:left w:w="120" w:type="dxa"/>
              <w:bottom w:w="100" w:type="dxa"/>
              <w:right w:w="120" w:type="dxa"/>
            </w:tcMar>
            <w:vAlign w:val="center"/>
          </w:tcPr>
          <w:p w14:paraId="383982D6">
            <w:pPr>
              <w:keepNext/>
              <w:spacing w:after="0" w:line="247" w:lineRule="auto"/>
            </w:pPr>
            <w:r>
              <w:rPr>
                <w:rFonts w:ascii="Cambria" w:hAnsi="Cambria"/>
                <w:sz w:val="18"/>
              </w:rPr>
              <w:t>Skip</w:t>
            </w:r>
          </w:p>
        </w:tc>
        <w:tc>
          <w:tcPr>
            <w:tcW w:w="7040" w:type="dxa"/>
            <w:tcMar>
              <w:top w:w="100" w:type="dxa"/>
              <w:left w:w="120" w:type="dxa"/>
              <w:bottom w:w="100" w:type="dxa"/>
              <w:right w:w="120" w:type="dxa"/>
            </w:tcMar>
            <w:vAlign w:val="center"/>
          </w:tcPr>
          <w:p w14:paraId="3AD7CA7C">
            <w:pPr>
              <w:keepNext/>
              <w:spacing w:after="0" w:line="247" w:lineRule="auto"/>
            </w:pPr>
            <w:r>
              <w:rPr>
                <w:rFonts w:ascii="Cambria" w:hAnsi="Cambria"/>
                <w:sz w:val="18"/>
              </w:rPr>
              <w:t>Do not import the duplicate; persist an ImportError describing the duplicate.</w:t>
            </w:r>
          </w:p>
        </w:tc>
      </w:tr>
      <w:tr w14:paraId="6527D89B">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1600" w:type="dxa"/>
            <w:shd w:val="clear" w:color="auto" w:fill="F5F9FC"/>
            <w:tcMar>
              <w:top w:w="100" w:type="dxa"/>
              <w:left w:w="120" w:type="dxa"/>
              <w:bottom w:w="100" w:type="dxa"/>
              <w:right w:w="120" w:type="dxa"/>
            </w:tcMar>
            <w:vAlign w:val="center"/>
          </w:tcPr>
          <w:p w14:paraId="5C3142F9">
            <w:pPr>
              <w:keepNext/>
              <w:spacing w:after="0" w:line="247" w:lineRule="auto"/>
            </w:pPr>
            <w:r>
              <w:rPr>
                <w:rFonts w:ascii="Cambria" w:hAnsi="Cambria"/>
                <w:sz w:val="18"/>
              </w:rPr>
              <w:t>Reject</w:t>
            </w:r>
          </w:p>
        </w:tc>
        <w:tc>
          <w:tcPr>
            <w:tcW w:w="7040" w:type="dxa"/>
            <w:shd w:val="clear" w:color="auto" w:fill="F5F9FC"/>
            <w:tcMar>
              <w:top w:w="100" w:type="dxa"/>
              <w:left w:w="120" w:type="dxa"/>
              <w:bottom w:w="100" w:type="dxa"/>
              <w:right w:w="120" w:type="dxa"/>
            </w:tcMar>
            <w:vAlign w:val="center"/>
          </w:tcPr>
          <w:p w14:paraId="6C172216">
            <w:pPr>
              <w:keepNext/>
              <w:spacing w:after="0" w:line="247" w:lineRule="auto"/>
            </w:pPr>
            <w:r>
              <w:rPr>
                <w:rFonts w:ascii="Cambria" w:hAnsi="Cambria"/>
                <w:sz w:val="18"/>
              </w:rPr>
              <w:t>Reject the duplicate and persist an ImportError; no final record mutation for that row.</w:t>
            </w:r>
          </w:p>
        </w:tc>
      </w:tr>
      <w:tr w14:paraId="797C66EC">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1600" w:type="dxa"/>
            <w:tcMar>
              <w:top w:w="100" w:type="dxa"/>
              <w:left w:w="120" w:type="dxa"/>
              <w:bottom w:w="100" w:type="dxa"/>
              <w:right w:w="120" w:type="dxa"/>
            </w:tcMar>
            <w:vAlign w:val="center"/>
          </w:tcPr>
          <w:p w14:paraId="288103D5">
            <w:pPr>
              <w:keepNext/>
              <w:spacing w:after="0" w:line="247" w:lineRule="auto"/>
            </w:pPr>
            <w:r>
              <w:rPr>
                <w:rFonts w:ascii="Cambria" w:hAnsi="Cambria"/>
                <w:sz w:val="18"/>
              </w:rPr>
              <w:t>Update</w:t>
            </w:r>
          </w:p>
        </w:tc>
        <w:tc>
          <w:tcPr>
            <w:tcW w:w="7040" w:type="dxa"/>
            <w:tcMar>
              <w:top w:w="100" w:type="dxa"/>
              <w:left w:w="120" w:type="dxa"/>
              <w:bottom w:w="100" w:type="dxa"/>
              <w:right w:w="120" w:type="dxa"/>
            </w:tcMar>
            <w:vAlign w:val="center"/>
          </w:tcPr>
          <w:p w14:paraId="3B2B3546">
            <w:pPr>
              <w:keepNext/>
              <w:spacing w:after="0" w:line="247" w:lineRule="auto"/>
            </w:pPr>
            <w:r>
              <w:rPr>
                <w:rFonts w:ascii="Cambria" w:hAnsi="Cambria"/>
                <w:sz w:val="18"/>
              </w:rPr>
              <w:t>Latest matching incoming row wins; Append mode updates an existing dataset record with the same key hash.</w:t>
            </w:r>
          </w:p>
        </w:tc>
      </w:tr>
      <w:tr w14:paraId="6A2EE76F">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1600" w:type="dxa"/>
            <w:shd w:val="clear" w:color="auto" w:fill="F5F9FC"/>
            <w:tcMar>
              <w:top w:w="100" w:type="dxa"/>
              <w:left w:w="120" w:type="dxa"/>
              <w:bottom w:w="100" w:type="dxa"/>
              <w:right w:w="120" w:type="dxa"/>
            </w:tcMar>
            <w:vAlign w:val="center"/>
          </w:tcPr>
          <w:p w14:paraId="3076A009">
            <w:pPr>
              <w:spacing w:after="0" w:line="247" w:lineRule="auto"/>
            </w:pPr>
            <w:r>
              <w:rPr>
                <w:rFonts w:ascii="Cambria" w:hAnsi="Cambria"/>
                <w:sz w:val="18"/>
              </w:rPr>
              <w:t>No key columns</w:t>
            </w:r>
          </w:p>
        </w:tc>
        <w:tc>
          <w:tcPr>
            <w:tcW w:w="7040" w:type="dxa"/>
            <w:shd w:val="clear" w:color="auto" w:fill="F5F9FC"/>
            <w:tcMar>
              <w:top w:w="100" w:type="dxa"/>
              <w:left w:w="120" w:type="dxa"/>
              <w:bottom w:w="100" w:type="dxa"/>
              <w:right w:w="120" w:type="dxa"/>
            </w:tcMar>
            <w:vAlign w:val="center"/>
          </w:tcPr>
          <w:p w14:paraId="74AB70BD">
            <w:pPr>
              <w:spacing w:after="0" w:line="247" w:lineRule="auto"/>
            </w:pPr>
            <w:r>
              <w:rPr>
                <w:rFonts w:ascii="Cambria" w:hAnsi="Cambria"/>
                <w:sz w:val="18"/>
              </w:rPr>
              <w:t>Build the key hash from every column, limiting duplicate detection to exact row duplicates.</w:t>
            </w:r>
          </w:p>
        </w:tc>
      </w:tr>
    </w:tbl>
    <w:p w14:paraId="0F87FAC2">
      <w:pPr>
        <w:spacing w:after="40" w:line="120" w:lineRule="auto"/>
      </w:pPr>
    </w:p>
    <w:p w14:paraId="60BBDF15">
      <w:pPr>
        <w:pStyle w:val="4"/>
        <w:keepNext/>
      </w:pPr>
      <w:r>
        <w:t>4.5 Import Status Lifecycle</w:t>
      </w:r>
    </w:p>
    <w:tbl>
      <w:tblPr>
        <w:tblStyle w:val="12"/>
        <w:tblW w:w="8640" w:type="dxa"/>
        <w:tblInd w:w="0" w:type="dxa"/>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Layout w:type="fixed"/>
        <w:tblCellMar>
          <w:top w:w="0" w:type="dxa"/>
          <w:left w:w="108" w:type="dxa"/>
          <w:bottom w:w="0" w:type="dxa"/>
          <w:right w:w="108" w:type="dxa"/>
        </w:tblCellMar>
      </w:tblPr>
      <w:tblGrid>
        <w:gridCol w:w="1500"/>
        <w:gridCol w:w="3870"/>
        <w:gridCol w:w="3270"/>
      </w:tblGrid>
      <w:tr w14:paraId="6AC91AE1">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blHeader/>
        </w:trPr>
        <w:tc>
          <w:tcPr>
            <w:tcW w:w="1500" w:type="dxa"/>
            <w:shd w:val="clear" w:color="auto" w:fill="365F91"/>
            <w:tcMar>
              <w:top w:w="100" w:type="dxa"/>
              <w:left w:w="120" w:type="dxa"/>
              <w:bottom w:w="100" w:type="dxa"/>
              <w:right w:w="120" w:type="dxa"/>
            </w:tcMar>
            <w:vAlign w:val="center"/>
          </w:tcPr>
          <w:p w14:paraId="6DEEE9D3">
            <w:pPr>
              <w:keepNext/>
              <w:spacing w:after="0" w:line="240" w:lineRule="auto"/>
              <w:jc w:val="left"/>
            </w:pPr>
            <w:r>
              <w:rPr>
                <w:rFonts w:ascii="Calibri" w:hAnsi="Calibri"/>
                <w:b/>
                <w:color w:val="FFFFFF"/>
                <w:sz w:val="17"/>
              </w:rPr>
              <w:t>Status</w:t>
            </w:r>
          </w:p>
        </w:tc>
        <w:tc>
          <w:tcPr>
            <w:tcW w:w="3870" w:type="dxa"/>
            <w:shd w:val="clear" w:color="auto" w:fill="365F91"/>
            <w:tcMar>
              <w:top w:w="100" w:type="dxa"/>
              <w:left w:w="120" w:type="dxa"/>
              <w:bottom w:w="100" w:type="dxa"/>
              <w:right w:w="120" w:type="dxa"/>
            </w:tcMar>
            <w:vAlign w:val="center"/>
          </w:tcPr>
          <w:p w14:paraId="0400D820">
            <w:pPr>
              <w:keepNext/>
              <w:spacing w:after="0" w:line="240" w:lineRule="auto"/>
              <w:jc w:val="left"/>
            </w:pPr>
            <w:r>
              <w:rPr>
                <w:rFonts w:ascii="Calibri" w:hAnsi="Calibri"/>
                <w:b/>
                <w:color w:val="FFFFFF"/>
                <w:sz w:val="17"/>
              </w:rPr>
              <w:t>Meaning</w:t>
            </w:r>
          </w:p>
        </w:tc>
        <w:tc>
          <w:tcPr>
            <w:tcW w:w="3270" w:type="dxa"/>
            <w:shd w:val="clear" w:color="auto" w:fill="365F91"/>
            <w:tcMar>
              <w:top w:w="100" w:type="dxa"/>
              <w:left w:w="120" w:type="dxa"/>
              <w:bottom w:w="100" w:type="dxa"/>
              <w:right w:w="120" w:type="dxa"/>
            </w:tcMar>
            <w:vAlign w:val="center"/>
          </w:tcPr>
          <w:p w14:paraId="164F1079">
            <w:pPr>
              <w:keepNext/>
              <w:spacing w:after="0" w:line="240" w:lineRule="auto"/>
              <w:jc w:val="left"/>
            </w:pPr>
            <w:r>
              <w:rPr>
                <w:rFonts w:ascii="Calibri" w:hAnsi="Calibri"/>
                <w:b/>
                <w:color w:val="FFFFFF"/>
                <w:sz w:val="17"/>
              </w:rPr>
              <w:t>Operational action</w:t>
            </w:r>
          </w:p>
        </w:tc>
      </w:tr>
      <w:tr w14:paraId="02CBA6C7">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1500" w:type="dxa"/>
            <w:tcMar>
              <w:top w:w="100" w:type="dxa"/>
              <w:left w:w="120" w:type="dxa"/>
              <w:bottom w:w="100" w:type="dxa"/>
              <w:right w:w="120" w:type="dxa"/>
            </w:tcMar>
            <w:vAlign w:val="center"/>
          </w:tcPr>
          <w:p w14:paraId="4703C55B">
            <w:pPr>
              <w:keepNext/>
              <w:spacing w:after="0" w:line="247" w:lineRule="auto"/>
            </w:pPr>
            <w:r>
              <w:rPr>
                <w:rFonts w:ascii="Cambria" w:hAnsi="Cambria"/>
                <w:sz w:val="17"/>
              </w:rPr>
              <w:t>Created</w:t>
            </w:r>
          </w:p>
        </w:tc>
        <w:tc>
          <w:tcPr>
            <w:tcW w:w="3870" w:type="dxa"/>
            <w:tcMar>
              <w:top w:w="100" w:type="dxa"/>
              <w:left w:w="120" w:type="dxa"/>
              <w:bottom w:w="100" w:type="dxa"/>
              <w:right w:w="120" w:type="dxa"/>
            </w:tcMar>
            <w:vAlign w:val="center"/>
          </w:tcPr>
          <w:p w14:paraId="0CCAA801">
            <w:pPr>
              <w:keepNext/>
              <w:spacing w:after="0" w:line="247" w:lineRule="auto"/>
            </w:pPr>
            <w:r>
              <w:rPr>
                <w:rFonts w:ascii="Cambria" w:hAnsi="Cambria"/>
                <w:sz w:val="17"/>
              </w:rPr>
              <w:t>Configuration saved but not started.</w:t>
            </w:r>
          </w:p>
        </w:tc>
        <w:tc>
          <w:tcPr>
            <w:tcW w:w="3270" w:type="dxa"/>
            <w:tcMar>
              <w:top w:w="100" w:type="dxa"/>
              <w:left w:w="120" w:type="dxa"/>
              <w:bottom w:w="100" w:type="dxa"/>
              <w:right w:w="120" w:type="dxa"/>
            </w:tcMar>
            <w:vAlign w:val="center"/>
          </w:tcPr>
          <w:p w14:paraId="039C1769">
            <w:pPr>
              <w:keepNext/>
              <w:spacing w:after="0" w:line="247" w:lineRule="auto"/>
            </w:pPr>
            <w:r>
              <w:rPr>
                <w:rFonts w:ascii="Cambria" w:hAnsi="Cambria"/>
                <w:sz w:val="17"/>
              </w:rPr>
              <w:t>Start or discard externally.</w:t>
            </w:r>
          </w:p>
        </w:tc>
      </w:tr>
      <w:tr w14:paraId="4F4CE1C3">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1500" w:type="dxa"/>
            <w:shd w:val="clear" w:color="auto" w:fill="F5F9FC"/>
            <w:tcMar>
              <w:top w:w="100" w:type="dxa"/>
              <w:left w:w="120" w:type="dxa"/>
              <w:bottom w:w="100" w:type="dxa"/>
              <w:right w:w="120" w:type="dxa"/>
            </w:tcMar>
            <w:vAlign w:val="center"/>
          </w:tcPr>
          <w:p w14:paraId="7C04D386">
            <w:pPr>
              <w:keepNext/>
              <w:spacing w:after="0" w:line="247" w:lineRule="auto"/>
            </w:pPr>
            <w:r>
              <w:rPr>
                <w:rFonts w:ascii="Cambria" w:hAnsi="Cambria"/>
                <w:sz w:val="17"/>
              </w:rPr>
              <w:t>Queued</w:t>
            </w:r>
          </w:p>
        </w:tc>
        <w:tc>
          <w:tcPr>
            <w:tcW w:w="3870" w:type="dxa"/>
            <w:shd w:val="clear" w:color="auto" w:fill="F5F9FC"/>
            <w:tcMar>
              <w:top w:w="100" w:type="dxa"/>
              <w:left w:w="120" w:type="dxa"/>
              <w:bottom w:w="100" w:type="dxa"/>
              <w:right w:w="120" w:type="dxa"/>
            </w:tcMar>
            <w:vAlign w:val="center"/>
          </w:tcPr>
          <w:p w14:paraId="448570D4">
            <w:pPr>
              <w:keepNext/>
              <w:spacing w:after="0" w:line="247" w:lineRule="auto"/>
            </w:pPr>
            <w:r>
              <w:rPr>
                <w:rFonts w:ascii="Cambria" w:hAnsi="Cambria"/>
                <w:sz w:val="17"/>
              </w:rPr>
              <w:t>Accepted and written to the in-memory queue.</w:t>
            </w:r>
          </w:p>
        </w:tc>
        <w:tc>
          <w:tcPr>
            <w:tcW w:w="3270" w:type="dxa"/>
            <w:shd w:val="clear" w:color="auto" w:fill="F5F9FC"/>
            <w:tcMar>
              <w:top w:w="100" w:type="dxa"/>
              <w:left w:w="120" w:type="dxa"/>
              <w:bottom w:w="100" w:type="dxa"/>
              <w:right w:w="120" w:type="dxa"/>
            </w:tcMar>
            <w:vAlign w:val="center"/>
          </w:tcPr>
          <w:p w14:paraId="61E35380">
            <w:pPr>
              <w:keepNext/>
              <w:spacing w:after="0" w:line="247" w:lineRule="auto"/>
            </w:pPr>
            <w:r>
              <w:rPr>
                <w:rFonts w:ascii="Cambria" w:hAnsi="Cambria"/>
                <w:sz w:val="17"/>
              </w:rPr>
              <w:t>Worker begins processing; queued cancellation is immediate.</w:t>
            </w:r>
          </w:p>
        </w:tc>
      </w:tr>
      <w:tr w14:paraId="7FFAC3F0">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1500" w:type="dxa"/>
            <w:tcMar>
              <w:top w:w="100" w:type="dxa"/>
              <w:left w:w="120" w:type="dxa"/>
              <w:bottom w:w="100" w:type="dxa"/>
              <w:right w:w="120" w:type="dxa"/>
            </w:tcMar>
            <w:vAlign w:val="center"/>
          </w:tcPr>
          <w:p w14:paraId="5553CED2">
            <w:pPr>
              <w:keepNext/>
              <w:spacing w:after="0" w:line="247" w:lineRule="auto"/>
            </w:pPr>
            <w:r>
              <w:rPr>
                <w:rFonts w:ascii="Cambria" w:hAnsi="Cambria"/>
                <w:sz w:val="17"/>
              </w:rPr>
              <w:t>Processing</w:t>
            </w:r>
          </w:p>
        </w:tc>
        <w:tc>
          <w:tcPr>
            <w:tcW w:w="3870" w:type="dxa"/>
            <w:tcMar>
              <w:top w:w="100" w:type="dxa"/>
              <w:left w:w="120" w:type="dxa"/>
              <w:bottom w:w="100" w:type="dxa"/>
              <w:right w:w="120" w:type="dxa"/>
            </w:tcMar>
            <w:vAlign w:val="center"/>
          </w:tcPr>
          <w:p w14:paraId="4CB8AFBB">
            <w:pPr>
              <w:keepNext/>
              <w:spacing w:after="0" w:line="247" w:lineRule="auto"/>
            </w:pPr>
            <w:r>
              <w:rPr>
                <w:rFonts w:ascii="Cambria" w:hAnsi="Cambria"/>
                <w:sz w:val="17"/>
              </w:rPr>
              <w:t>File is being read, validated, staged and committed.</w:t>
            </w:r>
          </w:p>
        </w:tc>
        <w:tc>
          <w:tcPr>
            <w:tcW w:w="3270" w:type="dxa"/>
            <w:tcMar>
              <w:top w:w="100" w:type="dxa"/>
              <w:left w:w="120" w:type="dxa"/>
              <w:bottom w:w="100" w:type="dxa"/>
              <w:right w:w="120" w:type="dxa"/>
            </w:tcMar>
            <w:vAlign w:val="center"/>
          </w:tcPr>
          <w:p w14:paraId="56ADDB3D">
            <w:pPr>
              <w:keepNext/>
              <w:spacing w:after="0" w:line="247" w:lineRule="auto"/>
            </w:pPr>
            <w:r>
              <w:rPr>
                <w:rFonts w:ascii="Cambria" w:hAnsi="Cambria"/>
                <w:sz w:val="17"/>
              </w:rPr>
              <w:t>Poll status or request cooperative cancellation.</w:t>
            </w:r>
          </w:p>
        </w:tc>
      </w:tr>
      <w:tr w14:paraId="063A3ACD">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1500" w:type="dxa"/>
            <w:shd w:val="clear" w:color="auto" w:fill="F5F9FC"/>
            <w:tcMar>
              <w:top w:w="100" w:type="dxa"/>
              <w:left w:w="120" w:type="dxa"/>
              <w:bottom w:w="100" w:type="dxa"/>
              <w:right w:w="120" w:type="dxa"/>
            </w:tcMar>
            <w:vAlign w:val="center"/>
          </w:tcPr>
          <w:p w14:paraId="409AE759">
            <w:pPr>
              <w:keepNext/>
              <w:spacing w:after="0" w:line="247" w:lineRule="auto"/>
            </w:pPr>
            <w:r>
              <w:rPr>
                <w:rFonts w:ascii="Cambria" w:hAnsi="Cambria"/>
                <w:sz w:val="17"/>
              </w:rPr>
              <w:t>Completed</w:t>
            </w:r>
          </w:p>
        </w:tc>
        <w:tc>
          <w:tcPr>
            <w:tcW w:w="3870" w:type="dxa"/>
            <w:shd w:val="clear" w:color="auto" w:fill="F5F9FC"/>
            <w:tcMar>
              <w:top w:w="100" w:type="dxa"/>
              <w:left w:w="120" w:type="dxa"/>
              <w:bottom w:w="100" w:type="dxa"/>
              <w:right w:w="120" w:type="dxa"/>
            </w:tcMar>
            <w:vAlign w:val="center"/>
          </w:tcPr>
          <w:p w14:paraId="32DEB1AB">
            <w:pPr>
              <w:keepNext/>
              <w:spacing w:after="0" w:line="247" w:lineRule="auto"/>
            </w:pPr>
            <w:r>
              <w:rPr>
                <w:rFonts w:ascii="Cambria" w:hAnsi="Cambria"/>
                <w:sz w:val="17"/>
              </w:rPr>
              <w:t>All processed rows committed successfully.</w:t>
            </w:r>
          </w:p>
        </w:tc>
        <w:tc>
          <w:tcPr>
            <w:tcW w:w="3270" w:type="dxa"/>
            <w:shd w:val="clear" w:color="auto" w:fill="F5F9FC"/>
            <w:tcMar>
              <w:top w:w="100" w:type="dxa"/>
              <w:left w:w="120" w:type="dxa"/>
              <w:bottom w:w="100" w:type="dxa"/>
              <w:right w:w="120" w:type="dxa"/>
            </w:tcMar>
            <w:vAlign w:val="center"/>
          </w:tcPr>
          <w:p w14:paraId="3C3F239C">
            <w:pPr>
              <w:keepNext/>
              <w:spacing w:after="0" w:line="247" w:lineRule="auto"/>
            </w:pPr>
            <w:r>
              <w:rPr>
                <w:rFonts w:ascii="Cambria" w:hAnsi="Cambria"/>
                <w:sz w:val="17"/>
              </w:rPr>
              <w:t>Review counts/history.</w:t>
            </w:r>
          </w:p>
        </w:tc>
      </w:tr>
      <w:tr w14:paraId="1F43AC39">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1500" w:type="dxa"/>
            <w:tcMar>
              <w:top w:w="100" w:type="dxa"/>
              <w:left w:w="120" w:type="dxa"/>
              <w:bottom w:w="100" w:type="dxa"/>
              <w:right w:w="120" w:type="dxa"/>
            </w:tcMar>
            <w:vAlign w:val="center"/>
          </w:tcPr>
          <w:p w14:paraId="16BC8A3D">
            <w:pPr>
              <w:keepNext/>
              <w:spacing w:after="0" w:line="247" w:lineRule="auto"/>
            </w:pPr>
            <w:r>
              <w:rPr>
                <w:rFonts w:ascii="Cambria" w:hAnsi="Cambria"/>
                <w:sz w:val="17"/>
              </w:rPr>
              <w:t>Completed With Errors</w:t>
            </w:r>
          </w:p>
        </w:tc>
        <w:tc>
          <w:tcPr>
            <w:tcW w:w="3870" w:type="dxa"/>
            <w:tcMar>
              <w:top w:w="100" w:type="dxa"/>
              <w:left w:w="120" w:type="dxa"/>
              <w:bottom w:w="100" w:type="dxa"/>
              <w:right w:w="120" w:type="dxa"/>
            </w:tcMar>
            <w:vAlign w:val="center"/>
          </w:tcPr>
          <w:p w14:paraId="1AFC41CB">
            <w:pPr>
              <w:keepNext/>
              <w:spacing w:after="0" w:line="247" w:lineRule="auto"/>
            </w:pPr>
            <w:r>
              <w:rPr>
                <w:rFonts w:ascii="Cambria" w:hAnsi="Cambria"/>
                <w:sz w:val="17"/>
              </w:rPr>
              <w:t>Valid rows committed; one or more rows rejected/skipped.</w:t>
            </w:r>
          </w:p>
        </w:tc>
        <w:tc>
          <w:tcPr>
            <w:tcW w:w="3270" w:type="dxa"/>
            <w:tcMar>
              <w:top w:w="100" w:type="dxa"/>
              <w:left w:w="120" w:type="dxa"/>
              <w:bottom w:w="100" w:type="dxa"/>
              <w:right w:w="120" w:type="dxa"/>
            </w:tcMar>
            <w:vAlign w:val="center"/>
          </w:tcPr>
          <w:p w14:paraId="6A8276BB">
            <w:pPr>
              <w:keepNext/>
              <w:spacing w:after="0" w:line="247" w:lineRule="auto"/>
            </w:pPr>
            <w:r>
              <w:rPr>
                <w:rFonts w:ascii="Cambria" w:hAnsi="Cambria"/>
                <w:sz w:val="17"/>
              </w:rPr>
              <w:t>Review paged import errors.</w:t>
            </w:r>
          </w:p>
        </w:tc>
      </w:tr>
      <w:tr w14:paraId="166B4A59">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1500" w:type="dxa"/>
            <w:shd w:val="clear" w:color="auto" w:fill="F5F9FC"/>
            <w:tcMar>
              <w:top w:w="100" w:type="dxa"/>
              <w:left w:w="120" w:type="dxa"/>
              <w:bottom w:w="100" w:type="dxa"/>
              <w:right w:w="120" w:type="dxa"/>
            </w:tcMar>
            <w:vAlign w:val="center"/>
          </w:tcPr>
          <w:p w14:paraId="6CE0C1BF">
            <w:pPr>
              <w:keepNext/>
              <w:spacing w:after="0" w:line="247" w:lineRule="auto"/>
            </w:pPr>
            <w:r>
              <w:rPr>
                <w:rFonts w:ascii="Cambria" w:hAnsi="Cambria"/>
                <w:sz w:val="17"/>
              </w:rPr>
              <w:t>Failed</w:t>
            </w:r>
          </w:p>
        </w:tc>
        <w:tc>
          <w:tcPr>
            <w:tcW w:w="3870" w:type="dxa"/>
            <w:shd w:val="clear" w:color="auto" w:fill="F5F9FC"/>
            <w:tcMar>
              <w:top w:w="100" w:type="dxa"/>
              <w:left w:w="120" w:type="dxa"/>
              <w:bottom w:w="100" w:type="dxa"/>
              <w:right w:w="120" w:type="dxa"/>
            </w:tcMar>
            <w:vAlign w:val="center"/>
          </w:tcPr>
          <w:p w14:paraId="290007B0">
            <w:pPr>
              <w:keepNext/>
              <w:spacing w:after="0" w:line="247" w:lineRule="auto"/>
            </w:pPr>
            <w:r>
              <w:rPr>
                <w:rFonts w:ascii="Cambria" w:hAnsi="Cambria"/>
                <w:sz w:val="17"/>
              </w:rPr>
              <w:t>A critical structural or processing error prevented completion.</w:t>
            </w:r>
          </w:p>
        </w:tc>
        <w:tc>
          <w:tcPr>
            <w:tcW w:w="3270" w:type="dxa"/>
            <w:shd w:val="clear" w:color="auto" w:fill="F5F9FC"/>
            <w:tcMar>
              <w:top w:w="100" w:type="dxa"/>
              <w:left w:w="120" w:type="dxa"/>
              <w:bottom w:w="100" w:type="dxa"/>
              <w:right w:w="120" w:type="dxa"/>
            </w:tcMar>
            <w:vAlign w:val="center"/>
          </w:tcPr>
          <w:p w14:paraId="533E9E24">
            <w:pPr>
              <w:keepNext/>
              <w:spacing w:after="0" w:line="247" w:lineRule="auto"/>
            </w:pPr>
            <w:r>
              <w:rPr>
                <w:rFonts w:ascii="Cambria" w:hAnsi="Cambria"/>
                <w:sz w:val="17"/>
              </w:rPr>
              <w:t>Review FailureMessage and ImportErrors.</w:t>
            </w:r>
          </w:p>
        </w:tc>
      </w:tr>
      <w:tr w14:paraId="7481FD6C">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1500" w:type="dxa"/>
            <w:tcMar>
              <w:top w:w="100" w:type="dxa"/>
              <w:left w:w="120" w:type="dxa"/>
              <w:bottom w:w="100" w:type="dxa"/>
              <w:right w:w="120" w:type="dxa"/>
            </w:tcMar>
            <w:vAlign w:val="center"/>
          </w:tcPr>
          <w:p w14:paraId="716B0B07">
            <w:pPr>
              <w:spacing w:after="0" w:line="247" w:lineRule="auto"/>
            </w:pPr>
            <w:r>
              <w:rPr>
                <w:rFonts w:ascii="Cambria" w:hAnsi="Cambria"/>
                <w:sz w:val="17"/>
              </w:rPr>
              <w:t>Cancelled</w:t>
            </w:r>
          </w:p>
        </w:tc>
        <w:tc>
          <w:tcPr>
            <w:tcW w:w="3870" w:type="dxa"/>
            <w:tcMar>
              <w:top w:w="100" w:type="dxa"/>
              <w:left w:w="120" w:type="dxa"/>
              <w:bottom w:w="100" w:type="dxa"/>
              <w:right w:w="120" w:type="dxa"/>
            </w:tcMar>
            <w:vAlign w:val="center"/>
          </w:tcPr>
          <w:p w14:paraId="628CCFCE">
            <w:pPr>
              <w:spacing w:after="0" w:line="247" w:lineRule="auto"/>
            </w:pPr>
            <w:r>
              <w:rPr>
                <w:rFonts w:ascii="Cambria" w:hAnsi="Cambria"/>
                <w:sz w:val="17"/>
              </w:rPr>
              <w:t>Cancellation was requested/observed before final completion.</w:t>
            </w:r>
          </w:p>
        </w:tc>
        <w:tc>
          <w:tcPr>
            <w:tcW w:w="3270" w:type="dxa"/>
            <w:tcMar>
              <w:top w:w="100" w:type="dxa"/>
              <w:left w:w="120" w:type="dxa"/>
              <w:bottom w:w="100" w:type="dxa"/>
              <w:right w:w="120" w:type="dxa"/>
            </w:tcMar>
            <w:vAlign w:val="center"/>
          </w:tcPr>
          <w:p w14:paraId="21DBDF70">
            <w:pPr>
              <w:spacing w:after="0" w:line="247" w:lineRule="auto"/>
            </w:pPr>
            <w:r>
              <w:rPr>
                <w:rFonts w:ascii="Cambria" w:hAnsi="Cambria"/>
                <w:sz w:val="17"/>
              </w:rPr>
              <w:t>Prior committed dataset state remains protected.</w:t>
            </w:r>
          </w:p>
        </w:tc>
      </w:tr>
    </w:tbl>
    <w:p w14:paraId="740487E3">
      <w:pPr>
        <w:spacing w:after="40" w:line="120" w:lineRule="auto"/>
      </w:pPr>
    </w:p>
    <w:p w14:paraId="06D150A7">
      <w:pPr>
        <w:pStyle w:val="4"/>
        <w:keepNext/>
      </w:pPr>
      <w:r>
        <w:t>4.6 Concurrency, Cancellation and Atomicity</w:t>
      </w:r>
    </w:p>
    <w:p w14:paraId="6BC03E35">
      <w:pPr>
        <w:pStyle w:val="23"/>
        <w:spacing w:after="50" w:line="252" w:lineRule="auto"/>
      </w:pPr>
      <w:r>
        <w:rPr>
          <w:rFonts w:ascii="Cambria" w:hAnsi="Cambria"/>
          <w:sz w:val="20"/>
        </w:rPr>
        <w:t>Only one Queued or Processing import is allowed for a dataset; the start check uses a serializable transaction.</w:t>
      </w:r>
    </w:p>
    <w:p w14:paraId="73003EB2">
      <w:pPr>
        <w:pStyle w:val="23"/>
        <w:spacing w:after="50" w:line="252" w:lineRule="auto"/>
      </w:pPr>
      <w:r>
        <w:rPr>
          <w:rFonts w:ascii="Cambria" w:hAnsi="Cambria"/>
          <w:sz w:val="20"/>
        </w:rPr>
        <w:t>Different datasets may enqueue imports independently.</w:t>
      </w:r>
    </w:p>
    <w:p w14:paraId="22E6495B">
      <w:pPr>
        <w:pStyle w:val="23"/>
        <w:spacing w:after="50" w:line="252" w:lineRule="auto"/>
      </w:pPr>
      <w:r>
        <w:rPr>
          <w:rFonts w:ascii="Cambria" w:hAnsi="Cambria"/>
          <w:sz w:val="20"/>
        </w:rPr>
        <w:t>Queued imports can be marked Cancelled immediately; processing imports receive a linked cancellation token.</w:t>
      </w:r>
    </w:p>
    <w:p w14:paraId="7671CC10">
      <w:pPr>
        <w:pStyle w:val="23"/>
        <w:spacing w:after="50" w:line="252" w:lineRule="auto"/>
      </w:pPr>
      <w:r>
        <w:rPr>
          <w:rFonts w:ascii="Cambria" w:hAnsi="Cambria"/>
          <w:sz w:val="20"/>
        </w:rPr>
        <w:t>Final dataset mutation is transactional. An exception or cancellation rolls back the mutation and prevents partial final records.</w:t>
      </w:r>
    </w:p>
    <w:p w14:paraId="0997CDDB">
      <w:pPr>
        <w:pStyle w:val="3"/>
        <w:keepNext/>
      </w:pPr>
      <w:r>
        <w:t>5. REST API Specification</w:t>
      </w:r>
    </w:p>
    <w:p w14:paraId="5E4B4EE9">
      <w:pPr>
        <w:pStyle w:val="164"/>
        <w:widowControl/>
        <w:spacing w:before="0" w:after="120" w:line="269" w:lineRule="auto"/>
      </w:pPr>
      <w:r>
        <w:rPr>
          <w:rFonts w:ascii="Cambria" w:hAnsi="Cambria"/>
          <w:sz w:val="21"/>
        </w:rPr>
        <w:t>All routes require JWT authentication and the permission shown below. Dataset and import queries remain restricted by the existing workspace query filters.</w:t>
      </w:r>
    </w:p>
    <w:tbl>
      <w:tblPr>
        <w:tblStyle w:val="12"/>
        <w:tblW w:w="8640" w:type="dxa"/>
        <w:tblInd w:w="0" w:type="dxa"/>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Layout w:type="fixed"/>
        <w:tblCellMar>
          <w:top w:w="0" w:type="dxa"/>
          <w:left w:w="108" w:type="dxa"/>
          <w:bottom w:w="0" w:type="dxa"/>
          <w:right w:w="108" w:type="dxa"/>
        </w:tblCellMar>
      </w:tblPr>
      <w:tblGrid>
        <w:gridCol w:w="850"/>
        <w:gridCol w:w="3190"/>
        <w:gridCol w:w="1900"/>
        <w:gridCol w:w="2700"/>
      </w:tblGrid>
      <w:tr w14:paraId="04C4FA19">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blHeader/>
        </w:trPr>
        <w:tc>
          <w:tcPr>
            <w:tcW w:w="850" w:type="dxa"/>
            <w:shd w:val="clear" w:color="auto" w:fill="365F91"/>
            <w:tcMar>
              <w:top w:w="100" w:type="dxa"/>
              <w:left w:w="120" w:type="dxa"/>
              <w:bottom w:w="100" w:type="dxa"/>
              <w:right w:w="120" w:type="dxa"/>
            </w:tcMar>
            <w:vAlign w:val="center"/>
          </w:tcPr>
          <w:p w14:paraId="6430D3E2">
            <w:pPr>
              <w:keepNext/>
              <w:spacing w:after="0" w:line="240" w:lineRule="auto"/>
              <w:jc w:val="left"/>
            </w:pPr>
            <w:r>
              <w:rPr>
                <w:rFonts w:ascii="Calibri" w:hAnsi="Calibri"/>
                <w:b/>
                <w:color w:val="FFFFFF"/>
                <w:sz w:val="15"/>
              </w:rPr>
              <w:t>Method</w:t>
            </w:r>
          </w:p>
        </w:tc>
        <w:tc>
          <w:tcPr>
            <w:tcW w:w="3190" w:type="dxa"/>
            <w:shd w:val="clear" w:color="auto" w:fill="365F91"/>
            <w:tcMar>
              <w:top w:w="100" w:type="dxa"/>
              <w:left w:w="120" w:type="dxa"/>
              <w:bottom w:w="100" w:type="dxa"/>
              <w:right w:w="120" w:type="dxa"/>
            </w:tcMar>
            <w:vAlign w:val="center"/>
          </w:tcPr>
          <w:p w14:paraId="7F9F1425">
            <w:pPr>
              <w:keepNext/>
              <w:spacing w:after="0" w:line="240" w:lineRule="auto"/>
              <w:jc w:val="left"/>
            </w:pPr>
            <w:r>
              <w:rPr>
                <w:rFonts w:ascii="Calibri" w:hAnsi="Calibri"/>
                <w:b/>
                <w:color w:val="FFFFFF"/>
                <w:sz w:val="15"/>
              </w:rPr>
              <w:t>Route</w:t>
            </w:r>
          </w:p>
        </w:tc>
        <w:tc>
          <w:tcPr>
            <w:tcW w:w="1900" w:type="dxa"/>
            <w:shd w:val="clear" w:color="auto" w:fill="365F91"/>
            <w:tcMar>
              <w:top w:w="100" w:type="dxa"/>
              <w:left w:w="120" w:type="dxa"/>
              <w:bottom w:w="100" w:type="dxa"/>
              <w:right w:w="120" w:type="dxa"/>
            </w:tcMar>
            <w:vAlign w:val="center"/>
          </w:tcPr>
          <w:p w14:paraId="658DB55C">
            <w:pPr>
              <w:keepNext/>
              <w:spacing w:after="0" w:line="240" w:lineRule="auto"/>
              <w:jc w:val="left"/>
            </w:pPr>
            <w:r>
              <w:rPr>
                <w:rFonts w:ascii="Calibri" w:hAnsi="Calibri"/>
                <w:b/>
                <w:color w:val="FFFFFF"/>
                <w:sz w:val="15"/>
              </w:rPr>
              <w:t>Permission</w:t>
            </w:r>
          </w:p>
        </w:tc>
        <w:tc>
          <w:tcPr>
            <w:tcW w:w="2700" w:type="dxa"/>
            <w:shd w:val="clear" w:color="auto" w:fill="365F91"/>
            <w:tcMar>
              <w:top w:w="100" w:type="dxa"/>
              <w:left w:w="120" w:type="dxa"/>
              <w:bottom w:w="100" w:type="dxa"/>
              <w:right w:w="120" w:type="dxa"/>
            </w:tcMar>
            <w:vAlign w:val="center"/>
          </w:tcPr>
          <w:p w14:paraId="75BE8072">
            <w:pPr>
              <w:keepNext/>
              <w:spacing w:after="0" w:line="240" w:lineRule="auto"/>
              <w:jc w:val="left"/>
            </w:pPr>
            <w:r>
              <w:rPr>
                <w:rFonts w:ascii="Calibri" w:hAnsi="Calibri"/>
                <w:b/>
                <w:color w:val="FFFFFF"/>
                <w:sz w:val="15"/>
              </w:rPr>
              <w:t>Purpose</w:t>
            </w:r>
          </w:p>
        </w:tc>
      </w:tr>
      <w:tr w14:paraId="7592CB37">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850" w:type="dxa"/>
            <w:tcMar>
              <w:top w:w="100" w:type="dxa"/>
              <w:left w:w="120" w:type="dxa"/>
              <w:bottom w:w="100" w:type="dxa"/>
              <w:right w:w="120" w:type="dxa"/>
            </w:tcMar>
            <w:vAlign w:val="center"/>
          </w:tcPr>
          <w:p w14:paraId="35A4BF3C">
            <w:pPr>
              <w:keepNext/>
              <w:spacing w:after="0" w:line="247" w:lineRule="auto"/>
            </w:pPr>
            <w:r>
              <w:rPr>
                <w:rFonts w:ascii="Cambria" w:hAnsi="Cambria"/>
                <w:sz w:val="15"/>
              </w:rPr>
              <w:t>POST</w:t>
            </w:r>
          </w:p>
        </w:tc>
        <w:tc>
          <w:tcPr>
            <w:tcW w:w="3190" w:type="dxa"/>
            <w:tcMar>
              <w:top w:w="100" w:type="dxa"/>
              <w:left w:w="120" w:type="dxa"/>
              <w:bottom w:w="100" w:type="dxa"/>
              <w:right w:w="120" w:type="dxa"/>
            </w:tcMar>
            <w:vAlign w:val="center"/>
          </w:tcPr>
          <w:p w14:paraId="71F2D853">
            <w:pPr>
              <w:keepNext/>
              <w:spacing w:after="0" w:line="247" w:lineRule="auto"/>
            </w:pPr>
            <w:r>
              <w:rPr>
                <w:rFonts w:ascii="Cambria" w:hAnsi="Cambria"/>
                <w:sz w:val="15"/>
              </w:rPr>
              <w:t>/api/datasets/{datasetId}/imports/files</w:t>
            </w:r>
          </w:p>
        </w:tc>
        <w:tc>
          <w:tcPr>
            <w:tcW w:w="1900" w:type="dxa"/>
            <w:tcMar>
              <w:top w:w="100" w:type="dxa"/>
              <w:left w:w="120" w:type="dxa"/>
              <w:bottom w:w="100" w:type="dxa"/>
              <w:right w:w="120" w:type="dxa"/>
            </w:tcMar>
            <w:vAlign w:val="center"/>
          </w:tcPr>
          <w:p w14:paraId="7DF4725F">
            <w:pPr>
              <w:keepNext/>
              <w:spacing w:after="0" w:line="247" w:lineRule="auto"/>
            </w:pPr>
            <w:r>
              <w:rPr>
                <w:rFonts w:ascii="Cambria" w:hAnsi="Cambria"/>
                <w:sz w:val="15"/>
              </w:rPr>
              <w:t>imports.upload</w:t>
            </w:r>
          </w:p>
        </w:tc>
        <w:tc>
          <w:tcPr>
            <w:tcW w:w="2700" w:type="dxa"/>
            <w:tcMar>
              <w:top w:w="100" w:type="dxa"/>
              <w:left w:w="120" w:type="dxa"/>
              <w:bottom w:w="100" w:type="dxa"/>
              <w:right w:w="120" w:type="dxa"/>
            </w:tcMar>
            <w:vAlign w:val="center"/>
          </w:tcPr>
          <w:p w14:paraId="797A192F">
            <w:pPr>
              <w:keepNext/>
              <w:spacing w:after="0" w:line="247" w:lineRule="auto"/>
            </w:pPr>
            <w:r>
              <w:rPr>
                <w:rFonts w:ascii="Cambria" w:hAnsi="Cambria"/>
                <w:sz w:val="15"/>
              </w:rPr>
              <w:t>Upload CSV/XLSX; return file metadata and sheet names.</w:t>
            </w:r>
          </w:p>
        </w:tc>
      </w:tr>
      <w:tr w14:paraId="48AF82DF">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850" w:type="dxa"/>
            <w:shd w:val="clear" w:color="auto" w:fill="F5F9FC"/>
            <w:tcMar>
              <w:top w:w="100" w:type="dxa"/>
              <w:left w:w="120" w:type="dxa"/>
              <w:bottom w:w="100" w:type="dxa"/>
              <w:right w:w="120" w:type="dxa"/>
            </w:tcMar>
            <w:vAlign w:val="center"/>
          </w:tcPr>
          <w:p w14:paraId="2F9DE4A6">
            <w:pPr>
              <w:keepNext/>
              <w:spacing w:after="0" w:line="247" w:lineRule="auto"/>
            </w:pPr>
            <w:r>
              <w:rPr>
                <w:rFonts w:ascii="Cambria" w:hAnsi="Cambria"/>
                <w:sz w:val="15"/>
              </w:rPr>
              <w:t>POST</w:t>
            </w:r>
          </w:p>
        </w:tc>
        <w:tc>
          <w:tcPr>
            <w:tcW w:w="3190" w:type="dxa"/>
            <w:shd w:val="clear" w:color="auto" w:fill="F5F9FC"/>
            <w:tcMar>
              <w:top w:w="100" w:type="dxa"/>
              <w:left w:w="120" w:type="dxa"/>
              <w:bottom w:w="100" w:type="dxa"/>
              <w:right w:w="120" w:type="dxa"/>
            </w:tcMar>
            <w:vAlign w:val="center"/>
          </w:tcPr>
          <w:p w14:paraId="07577499">
            <w:pPr>
              <w:keepNext/>
              <w:spacing w:after="0" w:line="247" w:lineRule="auto"/>
            </w:pPr>
            <w:r>
              <w:rPr>
                <w:rFonts w:ascii="Cambria" w:hAnsi="Cambria"/>
                <w:sz w:val="15"/>
              </w:rPr>
              <w:t>/api/datasets/{datasetId}/imports</w:t>
            </w:r>
          </w:p>
        </w:tc>
        <w:tc>
          <w:tcPr>
            <w:tcW w:w="1900" w:type="dxa"/>
            <w:shd w:val="clear" w:color="auto" w:fill="F5F9FC"/>
            <w:tcMar>
              <w:top w:w="100" w:type="dxa"/>
              <w:left w:w="120" w:type="dxa"/>
              <w:bottom w:w="100" w:type="dxa"/>
              <w:right w:w="120" w:type="dxa"/>
            </w:tcMar>
            <w:vAlign w:val="center"/>
          </w:tcPr>
          <w:p w14:paraId="07680C3B">
            <w:pPr>
              <w:keepNext/>
              <w:spacing w:after="0" w:line="247" w:lineRule="auto"/>
            </w:pPr>
            <w:r>
              <w:rPr>
                <w:rFonts w:ascii="Cambria" w:hAnsi="Cambria"/>
                <w:sz w:val="15"/>
              </w:rPr>
              <w:t>imports.create</w:t>
            </w:r>
          </w:p>
        </w:tc>
        <w:tc>
          <w:tcPr>
            <w:tcW w:w="2700" w:type="dxa"/>
            <w:shd w:val="clear" w:color="auto" w:fill="F5F9FC"/>
            <w:tcMar>
              <w:top w:w="100" w:type="dxa"/>
              <w:left w:w="120" w:type="dxa"/>
              <w:bottom w:w="100" w:type="dxa"/>
              <w:right w:w="120" w:type="dxa"/>
            </w:tcMar>
            <w:vAlign w:val="center"/>
          </w:tcPr>
          <w:p w14:paraId="55BEF5DA">
            <w:pPr>
              <w:keepNext/>
              <w:spacing w:after="0" w:line="247" w:lineRule="auto"/>
            </w:pPr>
            <w:r>
              <w:rPr>
                <w:rFonts w:ascii="Cambria" w:hAnsi="Cambria"/>
                <w:sz w:val="15"/>
              </w:rPr>
              <w:t>Create import configuration in Created status.</w:t>
            </w:r>
          </w:p>
        </w:tc>
      </w:tr>
      <w:tr w14:paraId="7D2E598C">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850" w:type="dxa"/>
            <w:tcMar>
              <w:top w:w="100" w:type="dxa"/>
              <w:left w:w="120" w:type="dxa"/>
              <w:bottom w:w="100" w:type="dxa"/>
              <w:right w:w="120" w:type="dxa"/>
            </w:tcMar>
            <w:vAlign w:val="center"/>
          </w:tcPr>
          <w:p w14:paraId="7727CA7C">
            <w:pPr>
              <w:keepNext/>
              <w:spacing w:after="0" w:line="247" w:lineRule="auto"/>
            </w:pPr>
            <w:r>
              <w:rPr>
                <w:rFonts w:ascii="Cambria" w:hAnsi="Cambria"/>
                <w:sz w:val="15"/>
              </w:rPr>
              <w:t>POST</w:t>
            </w:r>
          </w:p>
        </w:tc>
        <w:tc>
          <w:tcPr>
            <w:tcW w:w="3190" w:type="dxa"/>
            <w:tcMar>
              <w:top w:w="100" w:type="dxa"/>
              <w:left w:w="120" w:type="dxa"/>
              <w:bottom w:w="100" w:type="dxa"/>
              <w:right w:w="120" w:type="dxa"/>
            </w:tcMar>
            <w:vAlign w:val="center"/>
          </w:tcPr>
          <w:p w14:paraId="466B090E">
            <w:pPr>
              <w:keepNext/>
              <w:spacing w:after="0" w:line="247" w:lineRule="auto"/>
            </w:pPr>
            <w:r>
              <w:rPr>
                <w:rFonts w:ascii="Cambria" w:hAnsi="Cambria"/>
                <w:sz w:val="15"/>
              </w:rPr>
              <w:t>/api/imports/{importId}/start</w:t>
            </w:r>
          </w:p>
        </w:tc>
        <w:tc>
          <w:tcPr>
            <w:tcW w:w="1900" w:type="dxa"/>
            <w:tcMar>
              <w:top w:w="100" w:type="dxa"/>
              <w:left w:w="120" w:type="dxa"/>
              <w:bottom w:w="100" w:type="dxa"/>
              <w:right w:w="120" w:type="dxa"/>
            </w:tcMar>
            <w:vAlign w:val="center"/>
          </w:tcPr>
          <w:p w14:paraId="154578DB">
            <w:pPr>
              <w:keepNext/>
              <w:spacing w:after="0" w:line="247" w:lineRule="auto"/>
            </w:pPr>
            <w:r>
              <w:rPr>
                <w:rFonts w:ascii="Cambria" w:hAnsi="Cambria"/>
                <w:sz w:val="15"/>
              </w:rPr>
              <w:t>imports.start</w:t>
            </w:r>
          </w:p>
        </w:tc>
        <w:tc>
          <w:tcPr>
            <w:tcW w:w="2700" w:type="dxa"/>
            <w:tcMar>
              <w:top w:w="100" w:type="dxa"/>
              <w:left w:w="120" w:type="dxa"/>
              <w:bottom w:w="100" w:type="dxa"/>
              <w:right w:w="120" w:type="dxa"/>
            </w:tcMar>
            <w:vAlign w:val="center"/>
          </w:tcPr>
          <w:p w14:paraId="5B16AC17">
            <w:pPr>
              <w:keepNext/>
              <w:spacing w:after="0" w:line="247" w:lineRule="auto"/>
            </w:pPr>
            <w:r>
              <w:rPr>
                <w:rFonts w:ascii="Cambria" w:hAnsi="Cambria"/>
                <w:sz w:val="15"/>
              </w:rPr>
              <w:t>Queue an eligible import for background processing.</w:t>
            </w:r>
          </w:p>
        </w:tc>
      </w:tr>
      <w:tr w14:paraId="7BE46A8E">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850" w:type="dxa"/>
            <w:shd w:val="clear" w:color="auto" w:fill="F5F9FC"/>
            <w:tcMar>
              <w:top w:w="100" w:type="dxa"/>
              <w:left w:w="120" w:type="dxa"/>
              <w:bottom w:w="100" w:type="dxa"/>
              <w:right w:w="120" w:type="dxa"/>
            </w:tcMar>
            <w:vAlign w:val="center"/>
          </w:tcPr>
          <w:p w14:paraId="26ABE754">
            <w:pPr>
              <w:keepNext/>
              <w:spacing w:after="0" w:line="247" w:lineRule="auto"/>
            </w:pPr>
            <w:r>
              <w:rPr>
                <w:rFonts w:ascii="Cambria" w:hAnsi="Cambria"/>
                <w:sz w:val="15"/>
              </w:rPr>
              <w:t>GET</w:t>
            </w:r>
          </w:p>
        </w:tc>
        <w:tc>
          <w:tcPr>
            <w:tcW w:w="3190" w:type="dxa"/>
            <w:shd w:val="clear" w:color="auto" w:fill="F5F9FC"/>
            <w:tcMar>
              <w:top w:w="100" w:type="dxa"/>
              <w:left w:w="120" w:type="dxa"/>
              <w:bottom w:w="100" w:type="dxa"/>
              <w:right w:w="120" w:type="dxa"/>
            </w:tcMar>
            <w:vAlign w:val="center"/>
          </w:tcPr>
          <w:p w14:paraId="40ED3E49">
            <w:pPr>
              <w:keepNext/>
              <w:spacing w:after="0" w:line="247" w:lineRule="auto"/>
            </w:pPr>
            <w:r>
              <w:rPr>
                <w:rFonts w:ascii="Cambria" w:hAnsi="Cambria"/>
                <w:sz w:val="15"/>
              </w:rPr>
              <w:t>/api/imports/{importId}</w:t>
            </w:r>
          </w:p>
        </w:tc>
        <w:tc>
          <w:tcPr>
            <w:tcW w:w="1900" w:type="dxa"/>
            <w:shd w:val="clear" w:color="auto" w:fill="F5F9FC"/>
            <w:tcMar>
              <w:top w:w="100" w:type="dxa"/>
              <w:left w:w="120" w:type="dxa"/>
              <w:bottom w:w="100" w:type="dxa"/>
              <w:right w:w="120" w:type="dxa"/>
            </w:tcMar>
            <w:vAlign w:val="center"/>
          </w:tcPr>
          <w:p w14:paraId="2285EBCA">
            <w:pPr>
              <w:keepNext/>
              <w:spacing w:after="0" w:line="247" w:lineRule="auto"/>
            </w:pPr>
            <w:r>
              <w:rPr>
                <w:rFonts w:ascii="Cambria" w:hAnsi="Cambria"/>
                <w:sz w:val="15"/>
              </w:rPr>
              <w:t>imports.view</w:t>
            </w:r>
          </w:p>
        </w:tc>
        <w:tc>
          <w:tcPr>
            <w:tcW w:w="2700" w:type="dxa"/>
            <w:shd w:val="clear" w:color="auto" w:fill="F5F9FC"/>
            <w:tcMar>
              <w:top w:w="100" w:type="dxa"/>
              <w:left w:w="120" w:type="dxa"/>
              <w:bottom w:w="100" w:type="dxa"/>
              <w:right w:w="120" w:type="dxa"/>
            </w:tcMar>
            <w:vAlign w:val="center"/>
          </w:tcPr>
          <w:p w14:paraId="001A4D5A">
            <w:pPr>
              <w:keepNext/>
              <w:spacing w:after="0" w:line="247" w:lineRule="auto"/>
            </w:pPr>
            <w:r>
              <w:rPr>
                <w:rFonts w:ascii="Cambria" w:hAnsi="Cambria"/>
                <w:sz w:val="15"/>
              </w:rPr>
              <w:t>Get mode, status, counts, timing, keys and failure details.</w:t>
            </w:r>
          </w:p>
        </w:tc>
      </w:tr>
      <w:tr w14:paraId="15BA528B">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850" w:type="dxa"/>
            <w:tcMar>
              <w:top w:w="100" w:type="dxa"/>
              <w:left w:w="120" w:type="dxa"/>
              <w:bottom w:w="100" w:type="dxa"/>
              <w:right w:w="120" w:type="dxa"/>
            </w:tcMar>
            <w:vAlign w:val="center"/>
          </w:tcPr>
          <w:p w14:paraId="35064554">
            <w:pPr>
              <w:keepNext/>
              <w:spacing w:after="0" w:line="247" w:lineRule="auto"/>
            </w:pPr>
            <w:r>
              <w:rPr>
                <w:rFonts w:ascii="Cambria" w:hAnsi="Cambria"/>
                <w:sz w:val="15"/>
              </w:rPr>
              <w:t>GET</w:t>
            </w:r>
          </w:p>
        </w:tc>
        <w:tc>
          <w:tcPr>
            <w:tcW w:w="3190" w:type="dxa"/>
            <w:tcMar>
              <w:top w:w="100" w:type="dxa"/>
              <w:left w:w="120" w:type="dxa"/>
              <w:bottom w:w="100" w:type="dxa"/>
              <w:right w:w="120" w:type="dxa"/>
            </w:tcMar>
            <w:vAlign w:val="center"/>
          </w:tcPr>
          <w:p w14:paraId="0632F3D5">
            <w:pPr>
              <w:keepNext/>
              <w:spacing w:after="0" w:line="247" w:lineRule="auto"/>
            </w:pPr>
            <w:r>
              <w:rPr>
                <w:rFonts w:ascii="Cambria" w:hAnsi="Cambria"/>
                <w:sz w:val="15"/>
              </w:rPr>
              <w:t>/api/imports?datasetId=&amp;status=&amp;page=&amp;pageSize=</w:t>
            </w:r>
          </w:p>
        </w:tc>
        <w:tc>
          <w:tcPr>
            <w:tcW w:w="1900" w:type="dxa"/>
            <w:tcMar>
              <w:top w:w="100" w:type="dxa"/>
              <w:left w:w="120" w:type="dxa"/>
              <w:bottom w:w="100" w:type="dxa"/>
              <w:right w:w="120" w:type="dxa"/>
            </w:tcMar>
            <w:vAlign w:val="center"/>
          </w:tcPr>
          <w:p w14:paraId="30A013EA">
            <w:pPr>
              <w:keepNext/>
              <w:spacing w:after="0" w:line="247" w:lineRule="auto"/>
            </w:pPr>
            <w:r>
              <w:rPr>
                <w:rFonts w:ascii="Cambria" w:hAnsi="Cambria"/>
                <w:sz w:val="15"/>
              </w:rPr>
              <w:t>imports.view</w:t>
            </w:r>
          </w:p>
        </w:tc>
        <w:tc>
          <w:tcPr>
            <w:tcW w:w="2700" w:type="dxa"/>
            <w:tcMar>
              <w:top w:w="100" w:type="dxa"/>
              <w:left w:w="120" w:type="dxa"/>
              <w:bottom w:w="100" w:type="dxa"/>
              <w:right w:w="120" w:type="dxa"/>
            </w:tcMar>
            <w:vAlign w:val="center"/>
          </w:tcPr>
          <w:p w14:paraId="66220C42">
            <w:pPr>
              <w:keepNext/>
              <w:spacing w:after="0" w:line="247" w:lineRule="auto"/>
            </w:pPr>
            <w:r>
              <w:rPr>
                <w:rFonts w:ascii="Cambria" w:hAnsi="Cambria"/>
                <w:sz w:val="15"/>
              </w:rPr>
              <w:t>Paged, newest-first import history with optional filters.</w:t>
            </w:r>
          </w:p>
        </w:tc>
      </w:tr>
      <w:tr w14:paraId="27833CB9">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850" w:type="dxa"/>
            <w:shd w:val="clear" w:color="auto" w:fill="F5F9FC"/>
            <w:tcMar>
              <w:top w:w="100" w:type="dxa"/>
              <w:left w:w="120" w:type="dxa"/>
              <w:bottom w:w="100" w:type="dxa"/>
              <w:right w:w="120" w:type="dxa"/>
            </w:tcMar>
            <w:vAlign w:val="center"/>
          </w:tcPr>
          <w:p w14:paraId="5AD6E99F">
            <w:pPr>
              <w:keepNext/>
              <w:spacing w:after="0" w:line="247" w:lineRule="auto"/>
            </w:pPr>
            <w:r>
              <w:rPr>
                <w:rFonts w:ascii="Cambria" w:hAnsi="Cambria"/>
                <w:sz w:val="15"/>
              </w:rPr>
              <w:t>GET</w:t>
            </w:r>
          </w:p>
        </w:tc>
        <w:tc>
          <w:tcPr>
            <w:tcW w:w="3190" w:type="dxa"/>
            <w:shd w:val="clear" w:color="auto" w:fill="F5F9FC"/>
            <w:tcMar>
              <w:top w:w="100" w:type="dxa"/>
              <w:left w:w="120" w:type="dxa"/>
              <w:bottom w:w="100" w:type="dxa"/>
              <w:right w:w="120" w:type="dxa"/>
            </w:tcMar>
            <w:vAlign w:val="center"/>
          </w:tcPr>
          <w:p w14:paraId="16ED8B1A">
            <w:pPr>
              <w:keepNext/>
              <w:spacing w:after="0" w:line="247" w:lineRule="auto"/>
            </w:pPr>
            <w:r>
              <w:rPr>
                <w:rFonts w:ascii="Cambria" w:hAnsi="Cambria"/>
                <w:sz w:val="15"/>
              </w:rPr>
              <w:t>/api/imports/{importId}/errors?page=&amp;pageSize=</w:t>
            </w:r>
          </w:p>
        </w:tc>
        <w:tc>
          <w:tcPr>
            <w:tcW w:w="1900" w:type="dxa"/>
            <w:shd w:val="clear" w:color="auto" w:fill="F5F9FC"/>
            <w:tcMar>
              <w:top w:w="100" w:type="dxa"/>
              <w:left w:w="120" w:type="dxa"/>
              <w:bottom w:w="100" w:type="dxa"/>
              <w:right w:w="120" w:type="dxa"/>
            </w:tcMar>
            <w:vAlign w:val="center"/>
          </w:tcPr>
          <w:p w14:paraId="3B97DCAE">
            <w:pPr>
              <w:keepNext/>
              <w:spacing w:after="0" w:line="247" w:lineRule="auto"/>
            </w:pPr>
            <w:r>
              <w:rPr>
                <w:rFonts w:ascii="Cambria" w:hAnsi="Cambria"/>
                <w:sz w:val="15"/>
              </w:rPr>
              <w:t>imports.errors.view</w:t>
            </w:r>
          </w:p>
        </w:tc>
        <w:tc>
          <w:tcPr>
            <w:tcW w:w="2700" w:type="dxa"/>
            <w:shd w:val="clear" w:color="auto" w:fill="F5F9FC"/>
            <w:tcMar>
              <w:top w:w="100" w:type="dxa"/>
              <w:left w:w="120" w:type="dxa"/>
              <w:bottom w:w="100" w:type="dxa"/>
              <w:right w:w="120" w:type="dxa"/>
            </w:tcMar>
            <w:vAlign w:val="center"/>
          </w:tcPr>
          <w:p w14:paraId="3BF30FBF">
            <w:pPr>
              <w:keepNext/>
              <w:spacing w:after="0" w:line="247" w:lineRule="auto"/>
            </w:pPr>
            <w:r>
              <w:rPr>
                <w:rFonts w:ascii="Cambria" w:hAnsi="Cambria"/>
                <w:sz w:val="15"/>
              </w:rPr>
              <w:t>Paged row/column-level validation and duplicate errors.</w:t>
            </w:r>
          </w:p>
        </w:tc>
      </w:tr>
      <w:tr w14:paraId="45318849">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850" w:type="dxa"/>
            <w:tcMar>
              <w:top w:w="100" w:type="dxa"/>
              <w:left w:w="120" w:type="dxa"/>
              <w:bottom w:w="100" w:type="dxa"/>
              <w:right w:w="120" w:type="dxa"/>
            </w:tcMar>
            <w:vAlign w:val="center"/>
          </w:tcPr>
          <w:p w14:paraId="49881D50">
            <w:pPr>
              <w:keepNext/>
              <w:spacing w:after="0" w:line="247" w:lineRule="auto"/>
            </w:pPr>
            <w:r>
              <w:rPr>
                <w:rFonts w:ascii="Cambria" w:hAnsi="Cambria"/>
                <w:sz w:val="15"/>
              </w:rPr>
              <w:t>POST</w:t>
            </w:r>
          </w:p>
        </w:tc>
        <w:tc>
          <w:tcPr>
            <w:tcW w:w="3190" w:type="dxa"/>
            <w:tcMar>
              <w:top w:w="100" w:type="dxa"/>
              <w:left w:w="120" w:type="dxa"/>
              <w:bottom w:w="100" w:type="dxa"/>
              <w:right w:w="120" w:type="dxa"/>
            </w:tcMar>
            <w:vAlign w:val="center"/>
          </w:tcPr>
          <w:p w14:paraId="4B6D0B97">
            <w:pPr>
              <w:keepNext/>
              <w:spacing w:after="0" w:line="247" w:lineRule="auto"/>
            </w:pPr>
            <w:r>
              <w:rPr>
                <w:rFonts w:ascii="Cambria" w:hAnsi="Cambria"/>
                <w:sz w:val="15"/>
              </w:rPr>
              <w:t>/api/imports/{importId}/cancel</w:t>
            </w:r>
          </w:p>
        </w:tc>
        <w:tc>
          <w:tcPr>
            <w:tcW w:w="1900" w:type="dxa"/>
            <w:tcMar>
              <w:top w:w="100" w:type="dxa"/>
              <w:left w:w="120" w:type="dxa"/>
              <w:bottom w:w="100" w:type="dxa"/>
              <w:right w:w="120" w:type="dxa"/>
            </w:tcMar>
            <w:vAlign w:val="center"/>
          </w:tcPr>
          <w:p w14:paraId="7204EF0E">
            <w:pPr>
              <w:keepNext/>
              <w:spacing w:after="0" w:line="247" w:lineRule="auto"/>
            </w:pPr>
            <w:r>
              <w:rPr>
                <w:rFonts w:ascii="Cambria" w:hAnsi="Cambria"/>
                <w:sz w:val="15"/>
              </w:rPr>
              <w:t>imports.cancel</w:t>
            </w:r>
          </w:p>
        </w:tc>
        <w:tc>
          <w:tcPr>
            <w:tcW w:w="2700" w:type="dxa"/>
            <w:tcMar>
              <w:top w:w="100" w:type="dxa"/>
              <w:left w:w="120" w:type="dxa"/>
              <w:bottom w:w="100" w:type="dxa"/>
              <w:right w:w="120" w:type="dxa"/>
            </w:tcMar>
            <w:vAlign w:val="center"/>
          </w:tcPr>
          <w:p w14:paraId="2CF8C41D">
            <w:pPr>
              <w:keepNext/>
              <w:spacing w:after="0" w:line="247" w:lineRule="auto"/>
            </w:pPr>
            <w:r>
              <w:rPr>
                <w:rFonts w:ascii="Cambria" w:hAnsi="Cambria"/>
                <w:sz w:val="15"/>
              </w:rPr>
              <w:t>Cancel a queued import or request processing cancellation.</w:t>
            </w:r>
          </w:p>
        </w:tc>
      </w:tr>
      <w:tr w14:paraId="5C6E3E23">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850" w:type="dxa"/>
            <w:shd w:val="clear" w:color="auto" w:fill="F5F9FC"/>
            <w:tcMar>
              <w:top w:w="100" w:type="dxa"/>
              <w:left w:w="120" w:type="dxa"/>
              <w:bottom w:w="100" w:type="dxa"/>
              <w:right w:w="120" w:type="dxa"/>
            </w:tcMar>
            <w:vAlign w:val="center"/>
          </w:tcPr>
          <w:p w14:paraId="61F0826D">
            <w:pPr>
              <w:keepNext/>
              <w:spacing w:after="0" w:line="247" w:lineRule="auto"/>
            </w:pPr>
            <w:r>
              <w:rPr>
                <w:rFonts w:ascii="Cambria" w:hAnsi="Cambria"/>
                <w:sz w:val="15"/>
              </w:rPr>
              <w:t>GET</w:t>
            </w:r>
          </w:p>
        </w:tc>
        <w:tc>
          <w:tcPr>
            <w:tcW w:w="3190" w:type="dxa"/>
            <w:shd w:val="clear" w:color="auto" w:fill="F5F9FC"/>
            <w:tcMar>
              <w:top w:w="100" w:type="dxa"/>
              <w:left w:w="120" w:type="dxa"/>
              <w:bottom w:w="100" w:type="dxa"/>
              <w:right w:w="120" w:type="dxa"/>
            </w:tcMar>
            <w:vAlign w:val="center"/>
          </w:tcPr>
          <w:p w14:paraId="61397F4C">
            <w:pPr>
              <w:keepNext/>
              <w:spacing w:after="0" w:line="247" w:lineRule="auto"/>
            </w:pPr>
            <w:r>
              <w:rPr>
                <w:rFonts w:ascii="Cambria" w:hAnsi="Cambria"/>
                <w:sz w:val="15"/>
              </w:rPr>
              <w:t>/api/datasets/{datasetId}/import-schema</w:t>
            </w:r>
          </w:p>
        </w:tc>
        <w:tc>
          <w:tcPr>
            <w:tcW w:w="1900" w:type="dxa"/>
            <w:shd w:val="clear" w:color="auto" w:fill="F5F9FC"/>
            <w:tcMar>
              <w:top w:w="100" w:type="dxa"/>
              <w:left w:w="120" w:type="dxa"/>
              <w:bottom w:w="100" w:type="dxa"/>
              <w:right w:w="120" w:type="dxa"/>
            </w:tcMar>
            <w:vAlign w:val="center"/>
          </w:tcPr>
          <w:p w14:paraId="3FEE5A25">
            <w:pPr>
              <w:keepNext/>
              <w:spacing w:after="0" w:line="247" w:lineRule="auto"/>
            </w:pPr>
            <w:r>
              <w:rPr>
                <w:rFonts w:ascii="Cambria" w:hAnsi="Cambria"/>
                <w:sz w:val="15"/>
              </w:rPr>
              <w:t>imports.view</w:t>
            </w:r>
          </w:p>
        </w:tc>
        <w:tc>
          <w:tcPr>
            <w:tcW w:w="2700" w:type="dxa"/>
            <w:shd w:val="clear" w:color="auto" w:fill="F5F9FC"/>
            <w:tcMar>
              <w:top w:w="100" w:type="dxa"/>
              <w:left w:w="120" w:type="dxa"/>
              <w:bottom w:w="100" w:type="dxa"/>
              <w:right w:w="120" w:type="dxa"/>
            </w:tcMar>
            <w:vAlign w:val="center"/>
          </w:tcPr>
          <w:p w14:paraId="587B0611">
            <w:pPr>
              <w:keepNext/>
              <w:spacing w:after="0" w:line="247" w:lineRule="auto"/>
            </w:pPr>
            <w:r>
              <w:rPr>
                <w:rFonts w:ascii="Cambria" w:hAnsi="Cambria"/>
                <w:sz w:val="15"/>
              </w:rPr>
              <w:t>Return inferred columns, order, required flags and keys.</w:t>
            </w:r>
          </w:p>
        </w:tc>
      </w:tr>
      <w:tr w14:paraId="62F90310">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850" w:type="dxa"/>
            <w:tcMar>
              <w:top w:w="100" w:type="dxa"/>
              <w:left w:w="120" w:type="dxa"/>
              <w:bottom w:w="100" w:type="dxa"/>
              <w:right w:w="120" w:type="dxa"/>
            </w:tcMar>
            <w:vAlign w:val="center"/>
          </w:tcPr>
          <w:p w14:paraId="27FA78C1">
            <w:pPr>
              <w:spacing w:after="0" w:line="247" w:lineRule="auto"/>
            </w:pPr>
            <w:r>
              <w:rPr>
                <w:rFonts w:ascii="Cambria" w:hAnsi="Cambria"/>
                <w:sz w:val="15"/>
              </w:rPr>
              <w:t>PUT</w:t>
            </w:r>
          </w:p>
        </w:tc>
        <w:tc>
          <w:tcPr>
            <w:tcW w:w="3190" w:type="dxa"/>
            <w:tcMar>
              <w:top w:w="100" w:type="dxa"/>
              <w:left w:w="120" w:type="dxa"/>
              <w:bottom w:w="100" w:type="dxa"/>
              <w:right w:w="120" w:type="dxa"/>
            </w:tcMar>
            <w:vAlign w:val="center"/>
          </w:tcPr>
          <w:p w14:paraId="083AAEE9">
            <w:pPr>
              <w:spacing w:after="0" w:line="247" w:lineRule="auto"/>
            </w:pPr>
            <w:r>
              <w:rPr>
                <w:rFonts w:ascii="Cambria" w:hAnsi="Cambria"/>
                <w:sz w:val="15"/>
              </w:rPr>
              <w:t>/api/datasets/{datasetId}/import-schema/key-columns</w:t>
            </w:r>
          </w:p>
        </w:tc>
        <w:tc>
          <w:tcPr>
            <w:tcW w:w="1900" w:type="dxa"/>
            <w:tcMar>
              <w:top w:w="100" w:type="dxa"/>
              <w:left w:w="120" w:type="dxa"/>
              <w:bottom w:w="100" w:type="dxa"/>
              <w:right w:w="120" w:type="dxa"/>
            </w:tcMar>
            <w:vAlign w:val="center"/>
          </w:tcPr>
          <w:p w14:paraId="3C757876">
            <w:pPr>
              <w:spacing w:after="0" w:line="247" w:lineRule="auto"/>
            </w:pPr>
            <w:r>
              <w:rPr>
                <w:rFonts w:ascii="Cambria" w:hAnsi="Cambria"/>
                <w:sz w:val="15"/>
              </w:rPr>
              <w:t>imports.schema.manage</w:t>
            </w:r>
          </w:p>
        </w:tc>
        <w:tc>
          <w:tcPr>
            <w:tcW w:w="2700" w:type="dxa"/>
            <w:tcMar>
              <w:top w:w="100" w:type="dxa"/>
              <w:left w:w="120" w:type="dxa"/>
              <w:bottom w:w="100" w:type="dxa"/>
              <w:right w:w="120" w:type="dxa"/>
            </w:tcMar>
            <w:vAlign w:val="center"/>
          </w:tcPr>
          <w:p w14:paraId="3FCA97F7">
            <w:pPr>
              <w:spacing w:after="0" w:line="247" w:lineRule="auto"/>
            </w:pPr>
            <w:r>
              <w:rPr>
                <w:rFonts w:ascii="Cambria" w:hAnsi="Cambria"/>
                <w:sz w:val="15"/>
              </w:rPr>
              <w:t>Replace dataset key-column flags after schema creation.</w:t>
            </w:r>
          </w:p>
        </w:tc>
      </w:tr>
    </w:tbl>
    <w:p w14:paraId="027DD1F6">
      <w:pPr>
        <w:spacing w:after="40" w:line="120" w:lineRule="auto"/>
      </w:pPr>
    </w:p>
    <w:p w14:paraId="08F7D02B">
      <w:pPr>
        <w:pStyle w:val="4"/>
        <w:keepNext/>
      </w:pPr>
      <w:r>
        <w:t>Representative Upload Response</w:t>
      </w:r>
    </w:p>
    <w:p w14:paraId="02060A8C">
      <w:pPr>
        <w:pStyle w:val="165"/>
        <w:pBdr>
          <w:left w:val="single" w:color="4F81BD" w:sz="18" w:space="8"/>
        </w:pBdr>
        <w:shd w:val="clear" w:fill="F2F2F2"/>
        <w:spacing w:before="80" w:after="160" w:line="240" w:lineRule="auto"/>
        <w:ind w:left="216" w:right="72"/>
      </w:pPr>
      <w:r>
        <w:rPr>
          <w:rFonts w:ascii="Consolas" w:hAnsi="Consolas"/>
          <w:color w:val="263238"/>
          <w:sz w:val="16"/>
        </w:rPr>
        <w:t>{</w:t>
      </w:r>
      <w:r>
        <w:rPr>
          <w:rFonts w:ascii="Consolas" w:hAnsi="Consolas"/>
          <w:color w:val="263238"/>
          <w:sz w:val="16"/>
        </w:rPr>
        <w:br w:type="textWrapping"/>
      </w:r>
      <w:r>
        <w:rPr>
          <w:rFonts w:ascii="Consolas" w:hAnsi="Consolas"/>
          <w:color w:val="263238"/>
          <w:sz w:val="16"/>
        </w:rPr>
        <w:t xml:space="preserve">  "fileId": "11111111-2222-3333-4444-555555555555",</w:t>
      </w:r>
      <w:r>
        <w:rPr>
          <w:rFonts w:ascii="Consolas" w:hAnsi="Consolas"/>
          <w:color w:val="263238"/>
          <w:sz w:val="16"/>
        </w:rPr>
        <w:br w:type="textWrapping"/>
      </w:r>
      <w:r>
        <w:rPr>
          <w:rFonts w:ascii="Consolas" w:hAnsi="Consolas"/>
          <w:color w:val="263238"/>
          <w:sz w:val="16"/>
        </w:rPr>
        <w:t xml:space="preserve">  "datasetId": "aaaaaaaa-bbbb-cccc-dddd-eeeeeeeeeeee",</w:t>
      </w:r>
      <w:r>
        <w:rPr>
          <w:rFonts w:ascii="Consolas" w:hAnsi="Consolas"/>
          <w:color w:val="263238"/>
          <w:sz w:val="16"/>
        </w:rPr>
        <w:br w:type="textWrapping"/>
      </w:r>
      <w:r>
        <w:rPr>
          <w:rFonts w:ascii="Consolas" w:hAnsi="Consolas"/>
          <w:color w:val="263238"/>
          <w:sz w:val="16"/>
        </w:rPr>
        <w:t xml:space="preserve">  "fileName": "customers.xlsx",</w:t>
      </w:r>
      <w:r>
        <w:rPr>
          <w:rFonts w:ascii="Consolas" w:hAnsi="Consolas"/>
          <w:color w:val="263238"/>
          <w:sz w:val="16"/>
        </w:rPr>
        <w:br w:type="textWrapping"/>
      </w:r>
      <w:r>
        <w:rPr>
          <w:rFonts w:ascii="Consolas" w:hAnsi="Consolas"/>
          <w:color w:val="263238"/>
          <w:sz w:val="16"/>
        </w:rPr>
        <w:t xml:space="preserve">  "fileSizeBytes": 41231,</w:t>
      </w:r>
      <w:r>
        <w:rPr>
          <w:rFonts w:ascii="Consolas" w:hAnsi="Consolas"/>
          <w:color w:val="263238"/>
          <w:sz w:val="16"/>
        </w:rPr>
        <w:br w:type="textWrapping"/>
      </w:r>
      <w:r>
        <w:rPr>
          <w:rFonts w:ascii="Consolas" w:hAnsi="Consolas"/>
          <w:color w:val="263238"/>
          <w:sz w:val="16"/>
        </w:rPr>
        <w:t xml:space="preserve">  "availableSheets": ["Customers", "Lookup"],</w:t>
      </w:r>
      <w:r>
        <w:rPr>
          <w:rFonts w:ascii="Consolas" w:hAnsi="Consolas"/>
          <w:color w:val="263238"/>
          <w:sz w:val="16"/>
        </w:rPr>
        <w:br w:type="textWrapping"/>
      </w:r>
      <w:r>
        <w:rPr>
          <w:rFonts w:ascii="Consolas" w:hAnsi="Consolas"/>
          <w:color w:val="263238"/>
          <w:sz w:val="16"/>
        </w:rPr>
        <w:t xml:space="preserve">  "uploadedAtUtc": "2026-08-11T04:00:00Z"</w:t>
      </w:r>
      <w:r>
        <w:rPr>
          <w:rFonts w:ascii="Consolas" w:hAnsi="Consolas"/>
          <w:color w:val="263238"/>
          <w:sz w:val="16"/>
        </w:rPr>
        <w:br w:type="textWrapping"/>
      </w:r>
      <w:r>
        <w:rPr>
          <w:rFonts w:ascii="Consolas" w:hAnsi="Consolas"/>
          <w:color w:val="263238"/>
          <w:sz w:val="16"/>
        </w:rPr>
        <w:t>}</w:t>
      </w:r>
    </w:p>
    <w:p w14:paraId="133E294E">
      <w:pPr>
        <w:pStyle w:val="164"/>
        <w:keepNext/>
        <w:widowControl/>
        <w:spacing w:before="0" w:after="120" w:line="269" w:lineRule="auto"/>
      </w:pPr>
      <w:r>
        <w:rPr>
          <w:rFonts w:ascii="Cambria" w:hAnsi="Cambria"/>
          <w:b/>
          <w:color w:val="17365D"/>
          <w:sz w:val="21"/>
        </w:rPr>
        <w:t>Pagination safeguards:</w:t>
      </w:r>
      <w:r>
        <w:rPr>
          <w:rFonts w:ascii="Cambria" w:hAnsi="Cambria"/>
          <w:sz w:val="21"/>
        </w:rPr>
        <w:t xml:space="preserve"> import history clamps pageSize to 1–100; error history clamps pageSize to 1–200. Both normalize page values to at least 1.</w:t>
      </w:r>
    </w:p>
    <w:p w14:paraId="17F7DDFC">
      <w:pPr>
        <w:pStyle w:val="3"/>
        <w:keepNext/>
      </w:pPr>
      <w:r>
        <w:t>6. Database Design</w:t>
      </w:r>
    </w:p>
    <w:p w14:paraId="29E64EAC">
      <w:pPr>
        <w:pStyle w:val="164"/>
        <w:widowControl/>
        <w:spacing w:before="0" w:after="120" w:line="269" w:lineRule="auto"/>
      </w:pPr>
      <w:r>
        <w:rPr>
          <w:rFonts w:ascii="Cambria" w:hAnsi="Cambria"/>
          <w:sz w:val="21"/>
        </w:rPr>
        <w:t>The data import and ingestion migration creates the ingestion schema and seeds permissions and role mappings. A follow-up synchronization migration updates the Entity Framework Core model snapshot. Database migration is invoked at application startup.</w:t>
      </w:r>
    </w:p>
    <w:tbl>
      <w:tblPr>
        <w:tblStyle w:val="12"/>
        <w:tblW w:w="8640" w:type="dxa"/>
        <w:tblInd w:w="0" w:type="dxa"/>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Layout w:type="fixed"/>
        <w:tblCellMar>
          <w:top w:w="0" w:type="dxa"/>
          <w:left w:w="108" w:type="dxa"/>
          <w:bottom w:w="0" w:type="dxa"/>
          <w:right w:w="108" w:type="dxa"/>
        </w:tblCellMar>
      </w:tblPr>
      <w:tblGrid>
        <w:gridCol w:w="1800"/>
        <w:gridCol w:w="4160"/>
        <w:gridCol w:w="2680"/>
      </w:tblGrid>
      <w:tr w14:paraId="2FBB6D1F">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blHeader/>
        </w:trPr>
        <w:tc>
          <w:tcPr>
            <w:tcW w:w="1800" w:type="dxa"/>
            <w:shd w:val="clear" w:color="auto" w:fill="365F91"/>
            <w:tcMar>
              <w:top w:w="100" w:type="dxa"/>
              <w:left w:w="120" w:type="dxa"/>
              <w:bottom w:w="100" w:type="dxa"/>
              <w:right w:w="120" w:type="dxa"/>
            </w:tcMar>
            <w:vAlign w:val="center"/>
          </w:tcPr>
          <w:p w14:paraId="3D2B5819">
            <w:pPr>
              <w:keepNext/>
              <w:spacing w:after="0" w:line="240" w:lineRule="auto"/>
              <w:jc w:val="left"/>
            </w:pPr>
            <w:r>
              <w:rPr>
                <w:rFonts w:ascii="Calibri" w:hAnsi="Calibri"/>
                <w:b/>
                <w:color w:val="FFFFFF"/>
                <w:sz w:val="16"/>
              </w:rPr>
              <w:t>Object</w:t>
            </w:r>
          </w:p>
        </w:tc>
        <w:tc>
          <w:tcPr>
            <w:tcW w:w="4160" w:type="dxa"/>
            <w:shd w:val="clear" w:color="auto" w:fill="365F91"/>
            <w:tcMar>
              <w:top w:w="100" w:type="dxa"/>
              <w:left w:w="120" w:type="dxa"/>
              <w:bottom w:w="100" w:type="dxa"/>
              <w:right w:w="120" w:type="dxa"/>
            </w:tcMar>
            <w:vAlign w:val="center"/>
          </w:tcPr>
          <w:p w14:paraId="4BA8F93F">
            <w:pPr>
              <w:keepNext/>
              <w:spacing w:after="0" w:line="240" w:lineRule="auto"/>
              <w:jc w:val="left"/>
            </w:pPr>
            <w:r>
              <w:rPr>
                <w:rFonts w:ascii="Calibri" w:hAnsi="Calibri"/>
                <w:b/>
                <w:color w:val="FFFFFF"/>
                <w:sz w:val="16"/>
              </w:rPr>
              <w:t>Purpose</w:t>
            </w:r>
          </w:p>
        </w:tc>
        <w:tc>
          <w:tcPr>
            <w:tcW w:w="2680" w:type="dxa"/>
            <w:shd w:val="clear" w:color="auto" w:fill="365F91"/>
            <w:tcMar>
              <w:top w:w="100" w:type="dxa"/>
              <w:left w:w="120" w:type="dxa"/>
              <w:bottom w:w="100" w:type="dxa"/>
              <w:right w:w="120" w:type="dxa"/>
            </w:tcMar>
            <w:vAlign w:val="center"/>
          </w:tcPr>
          <w:p w14:paraId="0C3B1911">
            <w:pPr>
              <w:keepNext/>
              <w:spacing w:after="0" w:line="240" w:lineRule="auto"/>
              <w:jc w:val="left"/>
            </w:pPr>
            <w:r>
              <w:rPr>
                <w:rFonts w:ascii="Calibri" w:hAnsi="Calibri"/>
                <w:b/>
                <w:color w:val="FFFFFF"/>
                <w:sz w:val="16"/>
              </w:rPr>
              <w:t>Key relationship / index</w:t>
            </w:r>
          </w:p>
        </w:tc>
      </w:tr>
      <w:tr w14:paraId="282D70F7">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1800" w:type="dxa"/>
            <w:tcMar>
              <w:top w:w="100" w:type="dxa"/>
              <w:left w:w="120" w:type="dxa"/>
              <w:bottom w:w="100" w:type="dxa"/>
              <w:right w:w="120" w:type="dxa"/>
            </w:tcMar>
            <w:vAlign w:val="center"/>
          </w:tcPr>
          <w:p w14:paraId="088B30AF">
            <w:pPr>
              <w:keepNext/>
              <w:spacing w:after="0" w:line="247" w:lineRule="auto"/>
            </w:pPr>
            <w:r>
              <w:rPr>
                <w:rFonts w:ascii="Cambria" w:hAnsi="Cambria"/>
                <w:sz w:val="16"/>
              </w:rPr>
              <w:t>UploadedDataFiles</w:t>
            </w:r>
          </w:p>
        </w:tc>
        <w:tc>
          <w:tcPr>
            <w:tcW w:w="4160" w:type="dxa"/>
            <w:tcMar>
              <w:top w:w="100" w:type="dxa"/>
              <w:left w:w="120" w:type="dxa"/>
              <w:bottom w:w="100" w:type="dxa"/>
              <w:right w:w="120" w:type="dxa"/>
            </w:tcMar>
            <w:vAlign w:val="center"/>
          </w:tcPr>
          <w:p w14:paraId="44E37A27">
            <w:pPr>
              <w:keepNext/>
              <w:spacing w:after="0" w:line="247" w:lineRule="auto"/>
            </w:pPr>
            <w:r>
              <w:rPr>
                <w:rFonts w:ascii="Cambria" w:hAnsi="Cambria"/>
                <w:sz w:val="16"/>
              </w:rPr>
              <w:t>File metadata and storage path; file bytes stay outside SQL Server.</w:t>
            </w:r>
          </w:p>
        </w:tc>
        <w:tc>
          <w:tcPr>
            <w:tcW w:w="2680" w:type="dxa"/>
            <w:tcMar>
              <w:top w:w="100" w:type="dxa"/>
              <w:left w:w="120" w:type="dxa"/>
              <w:bottom w:w="100" w:type="dxa"/>
              <w:right w:w="120" w:type="dxa"/>
            </w:tcMar>
            <w:vAlign w:val="center"/>
          </w:tcPr>
          <w:p w14:paraId="5D8C691A">
            <w:pPr>
              <w:keepNext/>
              <w:spacing w:after="0" w:line="247" w:lineRule="auto"/>
            </w:pPr>
            <w:r>
              <w:rPr>
                <w:rFonts w:ascii="Cambria" w:hAnsi="Cambria"/>
                <w:sz w:val="16"/>
              </w:rPr>
              <w:t>Dataset + workspace index; Dataset FK.</w:t>
            </w:r>
          </w:p>
        </w:tc>
      </w:tr>
      <w:tr w14:paraId="1BF637D7">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1800" w:type="dxa"/>
            <w:shd w:val="clear" w:color="auto" w:fill="F5F9FC"/>
            <w:tcMar>
              <w:top w:w="100" w:type="dxa"/>
              <w:left w:w="120" w:type="dxa"/>
              <w:bottom w:w="100" w:type="dxa"/>
              <w:right w:w="120" w:type="dxa"/>
            </w:tcMar>
            <w:vAlign w:val="center"/>
          </w:tcPr>
          <w:p w14:paraId="2D847242">
            <w:pPr>
              <w:keepNext/>
              <w:spacing w:after="0" w:line="247" w:lineRule="auto"/>
            </w:pPr>
            <w:r>
              <w:rPr>
                <w:rFonts w:ascii="Cambria" w:hAnsi="Cambria"/>
                <w:sz w:val="16"/>
              </w:rPr>
              <w:t>DatasetColumns</w:t>
            </w:r>
          </w:p>
        </w:tc>
        <w:tc>
          <w:tcPr>
            <w:tcW w:w="4160" w:type="dxa"/>
            <w:shd w:val="clear" w:color="auto" w:fill="F5F9FC"/>
            <w:tcMar>
              <w:top w:w="100" w:type="dxa"/>
              <w:left w:w="120" w:type="dxa"/>
              <w:bottom w:w="100" w:type="dxa"/>
              <w:right w:w="120" w:type="dxa"/>
            </w:tcMar>
            <w:vAlign w:val="center"/>
          </w:tcPr>
          <w:p w14:paraId="4487CE96">
            <w:pPr>
              <w:keepNext/>
              <w:spacing w:after="0" w:line="247" w:lineRule="auto"/>
            </w:pPr>
            <w:r>
              <w:rPr>
                <w:rFonts w:ascii="Cambria" w:hAnsi="Cambria"/>
                <w:sz w:val="16"/>
              </w:rPr>
              <w:t>Inferred schema, order, type, required and key flags.</w:t>
            </w:r>
          </w:p>
        </w:tc>
        <w:tc>
          <w:tcPr>
            <w:tcW w:w="2680" w:type="dxa"/>
            <w:shd w:val="clear" w:color="auto" w:fill="F5F9FC"/>
            <w:tcMar>
              <w:top w:w="100" w:type="dxa"/>
              <w:left w:w="120" w:type="dxa"/>
              <w:bottom w:w="100" w:type="dxa"/>
              <w:right w:w="120" w:type="dxa"/>
            </w:tcMar>
            <w:vAlign w:val="center"/>
          </w:tcPr>
          <w:p w14:paraId="6DE70F0E">
            <w:pPr>
              <w:keepNext/>
              <w:spacing w:after="0" w:line="247" w:lineRule="auto"/>
            </w:pPr>
            <w:r>
              <w:rPr>
                <w:rFonts w:ascii="Cambria" w:hAnsi="Cambria"/>
                <w:sz w:val="16"/>
              </w:rPr>
              <w:t>Unique DatasetId + NormalizedName; cascade with Dataset.</w:t>
            </w:r>
          </w:p>
        </w:tc>
      </w:tr>
      <w:tr w14:paraId="18BCC7E9">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1800" w:type="dxa"/>
            <w:tcMar>
              <w:top w:w="100" w:type="dxa"/>
              <w:left w:w="120" w:type="dxa"/>
              <w:bottom w:w="100" w:type="dxa"/>
              <w:right w:w="120" w:type="dxa"/>
            </w:tcMar>
            <w:vAlign w:val="center"/>
          </w:tcPr>
          <w:p w14:paraId="6B7B75E2">
            <w:pPr>
              <w:keepNext/>
              <w:spacing w:after="0" w:line="247" w:lineRule="auto"/>
            </w:pPr>
            <w:r>
              <w:rPr>
                <w:rFonts w:ascii="Cambria" w:hAnsi="Cambria"/>
                <w:sz w:val="16"/>
              </w:rPr>
              <w:t>DataImports</w:t>
            </w:r>
          </w:p>
        </w:tc>
        <w:tc>
          <w:tcPr>
            <w:tcW w:w="4160" w:type="dxa"/>
            <w:tcMar>
              <w:top w:w="100" w:type="dxa"/>
              <w:left w:w="120" w:type="dxa"/>
              <w:bottom w:w="100" w:type="dxa"/>
              <w:right w:w="120" w:type="dxa"/>
            </w:tcMar>
            <w:vAlign w:val="center"/>
          </w:tcPr>
          <w:p w14:paraId="0B8045B8">
            <w:pPr>
              <w:keepNext/>
              <w:spacing w:after="0" w:line="247" w:lineRule="auto"/>
            </w:pPr>
            <w:r>
              <w:rPr>
                <w:rFonts w:ascii="Cambria" w:hAnsi="Cambria"/>
                <w:sz w:val="16"/>
              </w:rPr>
              <w:t>Configuration, lifecycle, counts, timings, failure/cancellation data.</w:t>
            </w:r>
          </w:p>
        </w:tc>
        <w:tc>
          <w:tcPr>
            <w:tcW w:w="2680" w:type="dxa"/>
            <w:tcMar>
              <w:top w:w="100" w:type="dxa"/>
              <w:left w:w="120" w:type="dxa"/>
              <w:bottom w:w="100" w:type="dxa"/>
              <w:right w:w="120" w:type="dxa"/>
            </w:tcMar>
            <w:vAlign w:val="center"/>
          </w:tcPr>
          <w:p w14:paraId="468CD010">
            <w:pPr>
              <w:keepNext/>
              <w:spacing w:after="0" w:line="247" w:lineRule="auto"/>
            </w:pPr>
            <w:r>
              <w:rPr>
                <w:rFonts w:ascii="Cambria" w:hAnsi="Cambria"/>
                <w:sz w:val="16"/>
              </w:rPr>
              <w:t>Dataset/File FKs; history and active-status indexes.</w:t>
            </w:r>
          </w:p>
        </w:tc>
      </w:tr>
      <w:tr w14:paraId="328FD699">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1800" w:type="dxa"/>
            <w:shd w:val="clear" w:color="auto" w:fill="F5F9FC"/>
            <w:tcMar>
              <w:top w:w="100" w:type="dxa"/>
              <w:left w:w="120" w:type="dxa"/>
              <w:bottom w:w="100" w:type="dxa"/>
              <w:right w:w="120" w:type="dxa"/>
            </w:tcMar>
            <w:vAlign w:val="center"/>
          </w:tcPr>
          <w:p w14:paraId="02D64161">
            <w:pPr>
              <w:keepNext/>
              <w:spacing w:after="0" w:line="247" w:lineRule="auto"/>
            </w:pPr>
            <w:r>
              <w:rPr>
                <w:rFonts w:ascii="Cambria" w:hAnsi="Cambria"/>
                <w:sz w:val="16"/>
              </w:rPr>
              <w:t>ImportStagingRows</w:t>
            </w:r>
          </w:p>
        </w:tc>
        <w:tc>
          <w:tcPr>
            <w:tcW w:w="4160" w:type="dxa"/>
            <w:shd w:val="clear" w:color="auto" w:fill="F5F9FC"/>
            <w:tcMar>
              <w:top w:w="100" w:type="dxa"/>
              <w:left w:w="120" w:type="dxa"/>
              <w:bottom w:w="100" w:type="dxa"/>
              <w:right w:w="120" w:type="dxa"/>
            </w:tcMar>
            <w:vAlign w:val="center"/>
          </w:tcPr>
          <w:p w14:paraId="3B18A4C3">
            <w:pPr>
              <w:keepNext/>
              <w:spacing w:after="0" w:line="247" w:lineRule="auto"/>
            </w:pPr>
            <w:r>
              <w:rPr>
                <w:rFonts w:ascii="Cambria" w:hAnsi="Cambria"/>
                <w:sz w:val="16"/>
              </w:rPr>
              <w:t>Source row number, key hash, validity and rejection flags.</w:t>
            </w:r>
          </w:p>
        </w:tc>
        <w:tc>
          <w:tcPr>
            <w:tcW w:w="2680" w:type="dxa"/>
            <w:shd w:val="clear" w:color="auto" w:fill="F5F9FC"/>
            <w:tcMar>
              <w:top w:w="100" w:type="dxa"/>
              <w:left w:w="120" w:type="dxa"/>
              <w:bottom w:w="100" w:type="dxa"/>
              <w:right w:w="120" w:type="dxa"/>
            </w:tcMar>
            <w:vAlign w:val="center"/>
          </w:tcPr>
          <w:p w14:paraId="7B23D079">
            <w:pPr>
              <w:keepNext/>
              <w:spacing w:after="0" w:line="247" w:lineRule="auto"/>
            </w:pPr>
            <w:r>
              <w:rPr>
                <w:rFonts w:ascii="Cambria" w:hAnsi="Cambria"/>
                <w:sz w:val="16"/>
              </w:rPr>
              <w:t>Import + RowNumber index; cascade with DataImport.</w:t>
            </w:r>
          </w:p>
        </w:tc>
      </w:tr>
      <w:tr w14:paraId="3943D23E">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1800" w:type="dxa"/>
            <w:tcMar>
              <w:top w:w="100" w:type="dxa"/>
              <w:left w:w="120" w:type="dxa"/>
              <w:bottom w:w="100" w:type="dxa"/>
              <w:right w:w="120" w:type="dxa"/>
            </w:tcMar>
            <w:vAlign w:val="center"/>
          </w:tcPr>
          <w:p w14:paraId="7667DC6F">
            <w:pPr>
              <w:keepNext/>
              <w:spacing w:after="0" w:line="247" w:lineRule="auto"/>
            </w:pPr>
            <w:r>
              <w:rPr>
                <w:rFonts w:ascii="Cambria" w:hAnsi="Cambria"/>
                <w:sz w:val="16"/>
              </w:rPr>
              <w:t>ImportStagingValues</w:t>
            </w:r>
          </w:p>
        </w:tc>
        <w:tc>
          <w:tcPr>
            <w:tcW w:w="4160" w:type="dxa"/>
            <w:tcMar>
              <w:top w:w="100" w:type="dxa"/>
              <w:left w:w="120" w:type="dxa"/>
              <w:bottom w:w="100" w:type="dxa"/>
              <w:right w:w="120" w:type="dxa"/>
            </w:tcMar>
            <w:vAlign w:val="center"/>
          </w:tcPr>
          <w:p w14:paraId="27B7ACA3">
            <w:pPr>
              <w:keepNext/>
              <w:spacing w:after="0" w:line="247" w:lineRule="auto"/>
            </w:pPr>
            <w:r>
              <w:rPr>
                <w:rFonts w:ascii="Cambria" w:hAnsi="Cambria"/>
                <w:sz w:val="16"/>
              </w:rPr>
              <w:t>Raw column/value pairs for each staging row.</w:t>
            </w:r>
          </w:p>
        </w:tc>
        <w:tc>
          <w:tcPr>
            <w:tcW w:w="2680" w:type="dxa"/>
            <w:tcMar>
              <w:top w:w="100" w:type="dxa"/>
              <w:left w:w="120" w:type="dxa"/>
              <w:bottom w:w="100" w:type="dxa"/>
              <w:right w:w="120" w:type="dxa"/>
            </w:tcMar>
            <w:vAlign w:val="center"/>
          </w:tcPr>
          <w:p w14:paraId="7C82503F">
            <w:pPr>
              <w:keepNext/>
              <w:spacing w:after="0" w:line="247" w:lineRule="auto"/>
            </w:pPr>
            <w:r>
              <w:rPr>
                <w:rFonts w:ascii="Cambria" w:hAnsi="Cambria"/>
                <w:sz w:val="16"/>
              </w:rPr>
              <w:t>StagingRow index; cascade with staging row.</w:t>
            </w:r>
          </w:p>
        </w:tc>
      </w:tr>
      <w:tr w14:paraId="194E4988">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1800" w:type="dxa"/>
            <w:shd w:val="clear" w:color="auto" w:fill="F5F9FC"/>
            <w:tcMar>
              <w:top w:w="100" w:type="dxa"/>
              <w:left w:w="120" w:type="dxa"/>
              <w:bottom w:w="100" w:type="dxa"/>
              <w:right w:w="120" w:type="dxa"/>
            </w:tcMar>
            <w:vAlign w:val="center"/>
          </w:tcPr>
          <w:p w14:paraId="1FD54DED">
            <w:pPr>
              <w:keepNext/>
              <w:spacing w:after="0" w:line="247" w:lineRule="auto"/>
            </w:pPr>
            <w:r>
              <w:rPr>
                <w:rFonts w:ascii="Cambria" w:hAnsi="Cambria"/>
                <w:sz w:val="16"/>
              </w:rPr>
              <w:t>DatasetRecords</w:t>
            </w:r>
          </w:p>
        </w:tc>
        <w:tc>
          <w:tcPr>
            <w:tcW w:w="4160" w:type="dxa"/>
            <w:shd w:val="clear" w:color="auto" w:fill="F5F9FC"/>
            <w:tcMar>
              <w:top w:w="100" w:type="dxa"/>
              <w:left w:w="120" w:type="dxa"/>
              <w:bottom w:w="100" w:type="dxa"/>
              <w:right w:w="120" w:type="dxa"/>
            </w:tcMar>
            <w:vAlign w:val="center"/>
          </w:tcPr>
          <w:p w14:paraId="143B63CA">
            <w:pPr>
              <w:keepNext/>
              <w:spacing w:after="0" w:line="247" w:lineRule="auto"/>
            </w:pPr>
            <w:r>
              <w:rPr>
                <w:rFonts w:ascii="Cambria" w:hAnsi="Cambria"/>
                <w:sz w:val="16"/>
              </w:rPr>
              <w:t>Dataset-level logical records with source import and key hash.</w:t>
            </w:r>
          </w:p>
        </w:tc>
        <w:tc>
          <w:tcPr>
            <w:tcW w:w="2680" w:type="dxa"/>
            <w:shd w:val="clear" w:color="auto" w:fill="F5F9FC"/>
            <w:tcMar>
              <w:top w:w="100" w:type="dxa"/>
              <w:left w:w="120" w:type="dxa"/>
              <w:bottom w:w="100" w:type="dxa"/>
              <w:right w:w="120" w:type="dxa"/>
            </w:tcMar>
            <w:vAlign w:val="center"/>
          </w:tcPr>
          <w:p w14:paraId="168DBF77">
            <w:pPr>
              <w:keepNext/>
              <w:spacing w:after="0" w:line="247" w:lineRule="auto"/>
            </w:pPr>
            <w:r>
              <w:rPr>
                <w:rFonts w:ascii="Cambria" w:hAnsi="Cambria"/>
                <w:sz w:val="16"/>
              </w:rPr>
              <w:t>Dataset + KeyHash index; cascade with Dataset.</w:t>
            </w:r>
          </w:p>
        </w:tc>
      </w:tr>
      <w:tr w14:paraId="4F5799D2">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1800" w:type="dxa"/>
            <w:tcMar>
              <w:top w:w="100" w:type="dxa"/>
              <w:left w:w="120" w:type="dxa"/>
              <w:bottom w:w="100" w:type="dxa"/>
              <w:right w:w="120" w:type="dxa"/>
            </w:tcMar>
            <w:vAlign w:val="center"/>
          </w:tcPr>
          <w:p w14:paraId="45EDBB17">
            <w:pPr>
              <w:keepNext/>
              <w:spacing w:after="0" w:line="247" w:lineRule="auto"/>
            </w:pPr>
            <w:r>
              <w:rPr>
                <w:rFonts w:ascii="Cambria" w:hAnsi="Cambria"/>
                <w:sz w:val="16"/>
              </w:rPr>
              <w:t>DatasetRecordValues</w:t>
            </w:r>
          </w:p>
        </w:tc>
        <w:tc>
          <w:tcPr>
            <w:tcW w:w="4160" w:type="dxa"/>
            <w:tcMar>
              <w:top w:w="100" w:type="dxa"/>
              <w:left w:w="120" w:type="dxa"/>
              <w:bottom w:w="100" w:type="dxa"/>
              <w:right w:w="120" w:type="dxa"/>
            </w:tcMar>
            <w:vAlign w:val="center"/>
          </w:tcPr>
          <w:p w14:paraId="604EA2B1">
            <w:pPr>
              <w:keepNext/>
              <w:spacing w:after="0" w:line="247" w:lineRule="auto"/>
            </w:pPr>
            <w:r>
              <w:rPr>
                <w:rFonts w:ascii="Cambria" w:hAnsi="Cambria"/>
                <w:sz w:val="16"/>
              </w:rPr>
              <w:t>Raw and typed String/Integer/Decimal/Boolean/DateTime values.</w:t>
            </w:r>
          </w:p>
        </w:tc>
        <w:tc>
          <w:tcPr>
            <w:tcW w:w="2680" w:type="dxa"/>
            <w:tcMar>
              <w:top w:w="100" w:type="dxa"/>
              <w:left w:w="120" w:type="dxa"/>
              <w:bottom w:w="100" w:type="dxa"/>
              <w:right w:w="120" w:type="dxa"/>
            </w:tcMar>
            <w:vAlign w:val="center"/>
          </w:tcPr>
          <w:p w14:paraId="00CE146A">
            <w:pPr>
              <w:keepNext/>
              <w:spacing w:after="0" w:line="247" w:lineRule="auto"/>
            </w:pPr>
            <w:r>
              <w:rPr>
                <w:rFonts w:ascii="Cambria" w:hAnsi="Cambria"/>
                <w:sz w:val="16"/>
              </w:rPr>
              <w:t>Unique Record + Column pair; record and column FKs.</w:t>
            </w:r>
          </w:p>
        </w:tc>
      </w:tr>
      <w:tr w14:paraId="72684BE0">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1800" w:type="dxa"/>
            <w:shd w:val="clear" w:color="auto" w:fill="F5F9FC"/>
            <w:tcMar>
              <w:top w:w="100" w:type="dxa"/>
              <w:left w:w="120" w:type="dxa"/>
              <w:bottom w:w="100" w:type="dxa"/>
              <w:right w:w="120" w:type="dxa"/>
            </w:tcMar>
            <w:vAlign w:val="center"/>
          </w:tcPr>
          <w:p w14:paraId="02C102A9">
            <w:pPr>
              <w:spacing w:after="0" w:line="247" w:lineRule="auto"/>
            </w:pPr>
            <w:r>
              <w:rPr>
                <w:rFonts w:ascii="Cambria" w:hAnsi="Cambria"/>
                <w:sz w:val="16"/>
              </w:rPr>
              <w:t>ImportErrors</w:t>
            </w:r>
          </w:p>
        </w:tc>
        <w:tc>
          <w:tcPr>
            <w:tcW w:w="4160" w:type="dxa"/>
            <w:shd w:val="clear" w:color="auto" w:fill="F5F9FC"/>
            <w:tcMar>
              <w:top w:w="100" w:type="dxa"/>
              <w:left w:w="120" w:type="dxa"/>
              <w:bottom w:w="100" w:type="dxa"/>
              <w:right w:w="120" w:type="dxa"/>
            </w:tcMar>
            <w:vAlign w:val="center"/>
          </w:tcPr>
          <w:p w14:paraId="5E4BCEF2">
            <w:pPr>
              <w:spacing w:after="0" w:line="247" w:lineRule="auto"/>
            </w:pPr>
            <w:r>
              <w:rPr>
                <w:rFonts w:ascii="Cambria" w:hAnsi="Cambria"/>
                <w:sz w:val="16"/>
              </w:rPr>
              <w:t>Row, column, invalid value, description and timestamp.</w:t>
            </w:r>
          </w:p>
        </w:tc>
        <w:tc>
          <w:tcPr>
            <w:tcW w:w="2680" w:type="dxa"/>
            <w:shd w:val="clear" w:color="auto" w:fill="F5F9FC"/>
            <w:tcMar>
              <w:top w:w="100" w:type="dxa"/>
              <w:left w:w="120" w:type="dxa"/>
              <w:bottom w:w="100" w:type="dxa"/>
              <w:right w:w="120" w:type="dxa"/>
            </w:tcMar>
            <w:vAlign w:val="center"/>
          </w:tcPr>
          <w:p w14:paraId="133BA207">
            <w:pPr>
              <w:spacing w:after="0" w:line="247" w:lineRule="auto"/>
            </w:pPr>
            <w:r>
              <w:rPr>
                <w:rFonts w:ascii="Cambria" w:hAnsi="Cambria"/>
                <w:sz w:val="16"/>
              </w:rPr>
              <w:t>Import + ErrorTimestamp index; cascade with DataImport.</w:t>
            </w:r>
          </w:p>
        </w:tc>
      </w:tr>
    </w:tbl>
    <w:p w14:paraId="6DDB376A">
      <w:pPr>
        <w:spacing w:after="40" w:line="120" w:lineRule="auto"/>
      </w:pPr>
    </w:p>
    <w:p w14:paraId="0AB56A1C">
      <w:pPr>
        <w:pStyle w:val="164"/>
        <w:pBdr>
          <w:top w:val="single" w:color="AFC8DD" w:sz="6" w:space="6"/>
          <w:left w:val="single" w:color="AFC8DD" w:sz="6" w:space="6"/>
          <w:bottom w:val="single" w:color="AFC8DD" w:sz="6" w:space="6"/>
          <w:right w:val="single" w:color="AFC8DD" w:sz="6" w:space="6"/>
        </w:pBdr>
        <w:shd w:val="clear" w:fill="E2F0D9"/>
        <w:spacing w:before="80" w:after="200" w:line="259" w:lineRule="auto"/>
        <w:ind w:left="144" w:right="144"/>
      </w:pPr>
      <w:r>
        <w:rPr>
          <w:rFonts w:ascii="Cambria" w:hAnsi="Cambria"/>
          <w:b/>
          <w:color w:val="17365D"/>
          <w:sz w:val="21"/>
        </w:rPr>
        <w:t xml:space="preserve">Data integrity. </w:t>
      </w:r>
      <w:r>
        <w:rPr>
          <w:rFonts w:ascii="Cambria" w:hAnsi="Cambria"/>
          <w:sz w:val="21"/>
        </w:rPr>
        <w:t>WorkspaceId is carried through import, staging, record and error entities. Global query filters expose only the current workspace unless the caller is a Platform Administrator.</w:t>
      </w:r>
    </w:p>
    <w:p w14:paraId="6C998280">
      <w:pPr>
        <w:pStyle w:val="3"/>
        <w:keepNext/>
      </w:pPr>
      <w:r>
        <w:t>7. Security and Role-Based Access</w:t>
      </w:r>
    </w:p>
    <w:tbl>
      <w:tblPr>
        <w:tblStyle w:val="12"/>
        <w:tblW w:w="8640" w:type="dxa"/>
        <w:tblInd w:w="0" w:type="dxa"/>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Layout w:type="fixed"/>
        <w:tblCellMar>
          <w:top w:w="0" w:type="dxa"/>
          <w:left w:w="108" w:type="dxa"/>
          <w:bottom w:w="0" w:type="dxa"/>
          <w:right w:w="108" w:type="dxa"/>
        </w:tblCellMar>
      </w:tblPr>
      <w:tblGrid>
        <w:gridCol w:w="2600"/>
        <w:gridCol w:w="6040"/>
      </w:tblGrid>
      <w:tr w14:paraId="285C81B6">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blHeader/>
        </w:trPr>
        <w:tc>
          <w:tcPr>
            <w:tcW w:w="2600" w:type="dxa"/>
            <w:shd w:val="clear" w:color="auto" w:fill="365F91"/>
            <w:tcMar>
              <w:top w:w="100" w:type="dxa"/>
              <w:left w:w="120" w:type="dxa"/>
              <w:bottom w:w="100" w:type="dxa"/>
              <w:right w:w="120" w:type="dxa"/>
            </w:tcMar>
            <w:vAlign w:val="center"/>
          </w:tcPr>
          <w:p w14:paraId="1EB58657">
            <w:pPr>
              <w:keepNext/>
              <w:spacing w:after="0" w:line="240" w:lineRule="auto"/>
              <w:jc w:val="left"/>
            </w:pPr>
            <w:r>
              <w:rPr>
                <w:rFonts w:ascii="Calibri" w:hAnsi="Calibri"/>
                <w:b/>
                <w:color w:val="FFFFFF"/>
                <w:sz w:val="17"/>
              </w:rPr>
              <w:t>Permission</w:t>
            </w:r>
          </w:p>
        </w:tc>
        <w:tc>
          <w:tcPr>
            <w:tcW w:w="6040" w:type="dxa"/>
            <w:shd w:val="clear" w:color="auto" w:fill="365F91"/>
            <w:tcMar>
              <w:top w:w="100" w:type="dxa"/>
              <w:left w:w="120" w:type="dxa"/>
              <w:bottom w:w="100" w:type="dxa"/>
              <w:right w:w="120" w:type="dxa"/>
            </w:tcMar>
            <w:vAlign w:val="center"/>
          </w:tcPr>
          <w:p w14:paraId="5FDA1B67">
            <w:pPr>
              <w:keepNext/>
              <w:spacing w:after="0" w:line="240" w:lineRule="auto"/>
              <w:jc w:val="left"/>
            </w:pPr>
            <w:r>
              <w:rPr>
                <w:rFonts w:ascii="Calibri" w:hAnsi="Calibri"/>
                <w:b/>
                <w:color w:val="FFFFFF"/>
                <w:sz w:val="17"/>
              </w:rPr>
              <w:t>Purpose</w:t>
            </w:r>
          </w:p>
        </w:tc>
      </w:tr>
      <w:tr w14:paraId="43F464B6">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2600" w:type="dxa"/>
            <w:tcMar>
              <w:top w:w="100" w:type="dxa"/>
              <w:left w:w="120" w:type="dxa"/>
              <w:bottom w:w="100" w:type="dxa"/>
              <w:right w:w="120" w:type="dxa"/>
            </w:tcMar>
            <w:vAlign w:val="center"/>
          </w:tcPr>
          <w:p w14:paraId="14BD8A01">
            <w:pPr>
              <w:keepNext/>
              <w:spacing w:after="0" w:line="247" w:lineRule="auto"/>
            </w:pPr>
            <w:r>
              <w:rPr>
                <w:rFonts w:ascii="Cambria" w:hAnsi="Cambria"/>
                <w:sz w:val="17"/>
              </w:rPr>
              <w:t>imports.upload</w:t>
            </w:r>
          </w:p>
        </w:tc>
        <w:tc>
          <w:tcPr>
            <w:tcW w:w="6040" w:type="dxa"/>
            <w:tcMar>
              <w:top w:w="100" w:type="dxa"/>
              <w:left w:w="120" w:type="dxa"/>
              <w:bottom w:w="100" w:type="dxa"/>
              <w:right w:w="120" w:type="dxa"/>
            </w:tcMar>
            <w:vAlign w:val="center"/>
          </w:tcPr>
          <w:p w14:paraId="52E4071A">
            <w:pPr>
              <w:keepNext/>
              <w:spacing w:after="0" w:line="247" w:lineRule="auto"/>
            </w:pPr>
            <w:r>
              <w:rPr>
                <w:rFonts w:ascii="Cambria" w:hAnsi="Cambria"/>
                <w:sz w:val="17"/>
              </w:rPr>
              <w:t>Upload import files.</w:t>
            </w:r>
          </w:p>
        </w:tc>
      </w:tr>
      <w:tr w14:paraId="20FD354D">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2600" w:type="dxa"/>
            <w:shd w:val="clear" w:color="auto" w:fill="F5F9FC"/>
            <w:tcMar>
              <w:top w:w="100" w:type="dxa"/>
              <w:left w:w="120" w:type="dxa"/>
              <w:bottom w:w="100" w:type="dxa"/>
              <w:right w:w="120" w:type="dxa"/>
            </w:tcMar>
            <w:vAlign w:val="center"/>
          </w:tcPr>
          <w:p w14:paraId="0745130B">
            <w:pPr>
              <w:keepNext/>
              <w:spacing w:after="0" w:line="247" w:lineRule="auto"/>
            </w:pPr>
            <w:r>
              <w:rPr>
                <w:rFonts w:ascii="Cambria" w:hAnsi="Cambria"/>
                <w:sz w:val="17"/>
              </w:rPr>
              <w:t>imports.create</w:t>
            </w:r>
          </w:p>
        </w:tc>
        <w:tc>
          <w:tcPr>
            <w:tcW w:w="6040" w:type="dxa"/>
            <w:shd w:val="clear" w:color="auto" w:fill="F5F9FC"/>
            <w:tcMar>
              <w:top w:w="100" w:type="dxa"/>
              <w:left w:w="120" w:type="dxa"/>
              <w:bottom w:w="100" w:type="dxa"/>
              <w:right w:w="120" w:type="dxa"/>
            </w:tcMar>
            <w:vAlign w:val="center"/>
          </w:tcPr>
          <w:p w14:paraId="633C5158">
            <w:pPr>
              <w:keepNext/>
              <w:spacing w:after="0" w:line="247" w:lineRule="auto"/>
            </w:pPr>
            <w:r>
              <w:rPr>
                <w:rFonts w:ascii="Cambria" w:hAnsi="Cambria"/>
                <w:sz w:val="17"/>
              </w:rPr>
              <w:t>Create a dataset import configuration.</w:t>
            </w:r>
          </w:p>
        </w:tc>
      </w:tr>
      <w:tr w14:paraId="7F1BB144">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2600" w:type="dxa"/>
            <w:tcMar>
              <w:top w:w="100" w:type="dxa"/>
              <w:left w:w="120" w:type="dxa"/>
              <w:bottom w:w="100" w:type="dxa"/>
              <w:right w:w="120" w:type="dxa"/>
            </w:tcMar>
            <w:vAlign w:val="center"/>
          </w:tcPr>
          <w:p w14:paraId="5E9DFB48">
            <w:pPr>
              <w:keepNext/>
              <w:spacing w:after="0" w:line="247" w:lineRule="auto"/>
            </w:pPr>
            <w:r>
              <w:rPr>
                <w:rFonts w:ascii="Cambria" w:hAnsi="Cambria"/>
                <w:sz w:val="17"/>
              </w:rPr>
              <w:t>imports.start</w:t>
            </w:r>
          </w:p>
        </w:tc>
        <w:tc>
          <w:tcPr>
            <w:tcW w:w="6040" w:type="dxa"/>
            <w:tcMar>
              <w:top w:w="100" w:type="dxa"/>
              <w:left w:w="120" w:type="dxa"/>
              <w:bottom w:w="100" w:type="dxa"/>
              <w:right w:w="120" w:type="dxa"/>
            </w:tcMar>
            <w:vAlign w:val="center"/>
          </w:tcPr>
          <w:p w14:paraId="2889AAA7">
            <w:pPr>
              <w:keepNext/>
              <w:spacing w:after="0" w:line="247" w:lineRule="auto"/>
            </w:pPr>
            <w:r>
              <w:rPr>
                <w:rFonts w:ascii="Cambria" w:hAnsi="Cambria"/>
                <w:sz w:val="17"/>
              </w:rPr>
              <w:t>Start/queue an import.</w:t>
            </w:r>
          </w:p>
        </w:tc>
      </w:tr>
      <w:tr w14:paraId="7970AE95">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2600" w:type="dxa"/>
            <w:shd w:val="clear" w:color="auto" w:fill="F5F9FC"/>
            <w:tcMar>
              <w:top w:w="100" w:type="dxa"/>
              <w:left w:w="120" w:type="dxa"/>
              <w:bottom w:w="100" w:type="dxa"/>
              <w:right w:w="120" w:type="dxa"/>
            </w:tcMar>
            <w:vAlign w:val="center"/>
          </w:tcPr>
          <w:p w14:paraId="184FA39C">
            <w:pPr>
              <w:keepNext/>
              <w:spacing w:after="0" w:line="247" w:lineRule="auto"/>
            </w:pPr>
            <w:r>
              <w:rPr>
                <w:rFonts w:ascii="Cambria" w:hAnsi="Cambria"/>
                <w:sz w:val="17"/>
              </w:rPr>
              <w:t>imports.view</w:t>
            </w:r>
          </w:p>
        </w:tc>
        <w:tc>
          <w:tcPr>
            <w:tcW w:w="6040" w:type="dxa"/>
            <w:shd w:val="clear" w:color="auto" w:fill="F5F9FC"/>
            <w:tcMar>
              <w:top w:w="100" w:type="dxa"/>
              <w:left w:w="120" w:type="dxa"/>
              <w:bottom w:w="100" w:type="dxa"/>
              <w:right w:w="120" w:type="dxa"/>
            </w:tcMar>
            <w:vAlign w:val="center"/>
          </w:tcPr>
          <w:p w14:paraId="649B30BD">
            <w:pPr>
              <w:keepNext/>
              <w:spacing w:after="0" w:line="247" w:lineRule="auto"/>
            </w:pPr>
            <w:r>
              <w:rPr>
                <w:rFonts w:ascii="Cambria" w:hAnsi="Cambria"/>
                <w:sz w:val="17"/>
              </w:rPr>
              <w:t>View status, history and schema.</w:t>
            </w:r>
          </w:p>
        </w:tc>
      </w:tr>
      <w:tr w14:paraId="1CB0CF18">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2600" w:type="dxa"/>
            <w:tcMar>
              <w:top w:w="100" w:type="dxa"/>
              <w:left w:w="120" w:type="dxa"/>
              <w:bottom w:w="100" w:type="dxa"/>
              <w:right w:w="120" w:type="dxa"/>
            </w:tcMar>
            <w:vAlign w:val="center"/>
          </w:tcPr>
          <w:p w14:paraId="23F6C624">
            <w:pPr>
              <w:keepNext/>
              <w:spacing w:after="0" w:line="247" w:lineRule="auto"/>
            </w:pPr>
            <w:r>
              <w:rPr>
                <w:rFonts w:ascii="Cambria" w:hAnsi="Cambria"/>
                <w:sz w:val="17"/>
              </w:rPr>
              <w:t>imports.errors.view</w:t>
            </w:r>
          </w:p>
        </w:tc>
        <w:tc>
          <w:tcPr>
            <w:tcW w:w="6040" w:type="dxa"/>
            <w:tcMar>
              <w:top w:w="100" w:type="dxa"/>
              <w:left w:w="120" w:type="dxa"/>
              <w:bottom w:w="100" w:type="dxa"/>
              <w:right w:w="120" w:type="dxa"/>
            </w:tcMar>
            <w:vAlign w:val="center"/>
          </w:tcPr>
          <w:p w14:paraId="00781D7F">
            <w:pPr>
              <w:keepNext/>
              <w:spacing w:after="0" w:line="247" w:lineRule="auto"/>
            </w:pPr>
            <w:r>
              <w:rPr>
                <w:rFonts w:ascii="Cambria" w:hAnsi="Cambria"/>
                <w:sz w:val="17"/>
              </w:rPr>
              <w:t>View detailed row errors.</w:t>
            </w:r>
          </w:p>
        </w:tc>
      </w:tr>
      <w:tr w14:paraId="6562E42E">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2600" w:type="dxa"/>
            <w:shd w:val="clear" w:color="auto" w:fill="F5F9FC"/>
            <w:tcMar>
              <w:top w:w="100" w:type="dxa"/>
              <w:left w:w="120" w:type="dxa"/>
              <w:bottom w:w="100" w:type="dxa"/>
              <w:right w:w="120" w:type="dxa"/>
            </w:tcMar>
            <w:vAlign w:val="center"/>
          </w:tcPr>
          <w:p w14:paraId="3369AFC7">
            <w:pPr>
              <w:keepNext/>
              <w:spacing w:after="0" w:line="247" w:lineRule="auto"/>
            </w:pPr>
            <w:r>
              <w:rPr>
                <w:rFonts w:ascii="Cambria" w:hAnsi="Cambria"/>
                <w:sz w:val="17"/>
              </w:rPr>
              <w:t>imports.cancel</w:t>
            </w:r>
          </w:p>
        </w:tc>
        <w:tc>
          <w:tcPr>
            <w:tcW w:w="6040" w:type="dxa"/>
            <w:shd w:val="clear" w:color="auto" w:fill="F5F9FC"/>
            <w:tcMar>
              <w:top w:w="100" w:type="dxa"/>
              <w:left w:w="120" w:type="dxa"/>
              <w:bottom w:w="100" w:type="dxa"/>
              <w:right w:w="120" w:type="dxa"/>
            </w:tcMar>
            <w:vAlign w:val="center"/>
          </w:tcPr>
          <w:p w14:paraId="599C6CF4">
            <w:pPr>
              <w:keepNext/>
              <w:spacing w:after="0" w:line="247" w:lineRule="auto"/>
            </w:pPr>
            <w:r>
              <w:rPr>
                <w:rFonts w:ascii="Cambria" w:hAnsi="Cambria"/>
                <w:sz w:val="17"/>
              </w:rPr>
              <w:t>Cancel queued or processing imports.</w:t>
            </w:r>
          </w:p>
        </w:tc>
      </w:tr>
      <w:tr w14:paraId="0D20D382">
        <w:tblPrEx>
          <w:tblBorders>
            <w:top w:val="single" w:color="AFC8DD" w:sz="6" w:space="0"/>
            <w:left w:val="single" w:color="AFC8DD" w:sz="6" w:space="0"/>
            <w:bottom w:val="single" w:color="AFC8DD" w:sz="6" w:space="0"/>
            <w:right w:val="single" w:color="AFC8DD" w:sz="6" w:space="0"/>
            <w:insideH w:val="single" w:color="AFC8DD" w:sz="6" w:space="0"/>
            <w:insideV w:val="single" w:color="AFC8DD" w:sz="6" w:space="0"/>
          </w:tblBorders>
          <w:tblCellMar>
            <w:top w:w="0" w:type="dxa"/>
            <w:left w:w="108" w:type="dxa"/>
            <w:bottom w:w="0" w:type="dxa"/>
            <w:right w:w="108" w:type="dxa"/>
          </w:tblCellMar>
        </w:tblPrEx>
        <w:trPr>
          <w:cantSplit/>
        </w:trPr>
        <w:tc>
          <w:tcPr>
            <w:tcW w:w="2600" w:type="dxa"/>
            <w:tcMar>
              <w:top w:w="100" w:type="dxa"/>
              <w:left w:w="120" w:type="dxa"/>
              <w:bottom w:w="100" w:type="dxa"/>
              <w:right w:w="120" w:type="dxa"/>
            </w:tcMar>
            <w:vAlign w:val="center"/>
          </w:tcPr>
          <w:p w14:paraId="321D9F34">
            <w:pPr>
              <w:spacing w:after="0" w:line="247" w:lineRule="auto"/>
            </w:pPr>
            <w:r>
              <w:rPr>
                <w:rFonts w:ascii="Cambria" w:hAnsi="Cambria"/>
                <w:sz w:val="17"/>
              </w:rPr>
              <w:t>imports.schema.manage</w:t>
            </w:r>
          </w:p>
        </w:tc>
        <w:tc>
          <w:tcPr>
            <w:tcW w:w="6040" w:type="dxa"/>
            <w:tcMar>
              <w:top w:w="100" w:type="dxa"/>
              <w:left w:w="120" w:type="dxa"/>
              <w:bottom w:w="100" w:type="dxa"/>
              <w:right w:w="120" w:type="dxa"/>
            </w:tcMar>
            <w:vAlign w:val="center"/>
          </w:tcPr>
          <w:p w14:paraId="1A8174CC">
            <w:pPr>
              <w:spacing w:after="0" w:line="247" w:lineRule="auto"/>
            </w:pPr>
            <w:r>
              <w:rPr>
                <w:rFonts w:ascii="Cambria" w:hAnsi="Cambria"/>
                <w:sz w:val="17"/>
              </w:rPr>
              <w:t>Change dataset key columns.</w:t>
            </w:r>
          </w:p>
        </w:tc>
      </w:tr>
    </w:tbl>
    <w:p w14:paraId="5CBB6458">
      <w:pPr>
        <w:spacing w:after="40" w:line="120" w:lineRule="auto"/>
      </w:pPr>
    </w:p>
    <w:p w14:paraId="74BDABFD">
      <w:pPr>
        <w:pStyle w:val="164"/>
        <w:keepNext/>
        <w:widowControl/>
        <w:spacing w:before="0" w:after="120" w:line="269" w:lineRule="auto"/>
      </w:pPr>
      <w:r>
        <w:rPr>
          <w:rFonts w:ascii="Cambria" w:hAnsi="Cambria"/>
          <w:b/>
          <w:color w:val="17365D"/>
          <w:sz w:val="21"/>
        </w:rPr>
        <w:t>Role access:</w:t>
      </w:r>
    </w:p>
    <w:p w14:paraId="04A40D6A">
      <w:pPr>
        <w:pStyle w:val="23"/>
        <w:spacing w:after="50" w:line="252" w:lineRule="auto"/>
      </w:pPr>
      <w:r>
        <w:rPr>
          <w:rFonts w:ascii="Cambria" w:hAnsi="Cambria"/>
          <w:sz w:val="20"/>
        </w:rPr>
        <w:t>Platform Administrator, Workspace Administrator and Data Analyst receive import management permissions.</w:t>
      </w:r>
    </w:p>
    <w:p w14:paraId="4D4CF456">
      <w:pPr>
        <w:pStyle w:val="23"/>
        <w:spacing w:after="50" w:line="252" w:lineRule="auto"/>
      </w:pPr>
      <w:r>
        <w:rPr>
          <w:rFonts w:ascii="Cambria" w:hAnsi="Cambria"/>
          <w:sz w:val="20"/>
        </w:rPr>
        <w:t>Business User and Viewer receive imports.view only.</w:t>
      </w:r>
    </w:p>
    <w:p w14:paraId="6C1A2054">
      <w:pPr>
        <w:pStyle w:val="23"/>
        <w:spacing w:after="50" w:line="252" w:lineRule="auto"/>
      </w:pPr>
      <w:r>
        <w:rPr>
          <w:rFonts w:ascii="Cambria" w:hAnsi="Cambria"/>
          <w:sz w:val="20"/>
        </w:rPr>
        <w:t>HasPermission attributes protect each controller operation, while dataset ownership and workspace filters prevent cross-workspace access.</w:t>
      </w:r>
    </w:p>
    <w:p w14:paraId="49139D7C">
      <w:pPr>
        <w:pStyle w:val="23"/>
        <w:spacing w:after="50" w:line="252" w:lineRule="auto"/>
      </w:pPr>
      <w:r>
        <w:rPr>
          <w:rFonts w:ascii="Cambria" w:hAnsi="Cambria"/>
          <w:sz w:val="20"/>
        </w:rPr>
        <w:t>Upload, configuration, initiation, completion, failure and cancellation actions are written through the existing audit service.</w:t>
      </w:r>
    </w:p>
    <w:p w14:paraId="53A58748">
      <w:pPr>
        <w:pStyle w:val="3"/>
        <w:keepNext/>
      </w:pPr>
      <w:r>
        <w:t>8. Configuration and Deployment</w:t>
      </w:r>
    </w:p>
    <w:p w14:paraId="4C687E2F">
      <w:pPr>
        <w:pStyle w:val="164"/>
        <w:widowControl/>
        <w:spacing w:before="0" w:after="120" w:line="269" w:lineRule="auto"/>
      </w:pPr>
      <w:r>
        <w:rPr>
          <w:rFonts w:ascii="Cambria" w:hAnsi="Cambria"/>
          <w:sz w:val="21"/>
        </w:rPr>
        <w:t>The ingestion settings are defined in appsettings.json:</w:t>
      </w:r>
    </w:p>
    <w:p w14:paraId="0AAFD469">
      <w:pPr>
        <w:pStyle w:val="165"/>
        <w:pBdr>
          <w:left w:val="single" w:color="4F81BD" w:sz="18" w:space="8"/>
        </w:pBdr>
        <w:shd w:val="clear" w:fill="F2F2F2"/>
        <w:spacing w:before="80" w:after="160" w:line="240" w:lineRule="auto"/>
        <w:ind w:left="216" w:right="72"/>
      </w:pPr>
      <w:r>
        <w:rPr>
          <w:rFonts w:ascii="Consolas" w:hAnsi="Consolas"/>
          <w:color w:val="263238"/>
          <w:sz w:val="16"/>
        </w:rPr>
        <w:t>"Ingestion": {</w:t>
      </w:r>
      <w:r>
        <w:rPr>
          <w:rFonts w:ascii="Consolas" w:hAnsi="Consolas"/>
          <w:color w:val="263238"/>
          <w:sz w:val="16"/>
        </w:rPr>
        <w:br w:type="textWrapping"/>
      </w:r>
      <w:r>
        <w:rPr>
          <w:rFonts w:ascii="Consolas" w:hAnsi="Consolas"/>
          <w:color w:val="263238"/>
          <w:sz w:val="16"/>
        </w:rPr>
        <w:t xml:space="preserve">  "MaxFileSizeMb": 25,</w:t>
      </w:r>
      <w:r>
        <w:rPr>
          <w:rFonts w:ascii="Consolas" w:hAnsi="Consolas"/>
          <w:color w:val="263238"/>
          <w:sz w:val="16"/>
        </w:rPr>
        <w:br w:type="textWrapping"/>
      </w:r>
      <w:r>
        <w:rPr>
          <w:rFonts w:ascii="Consolas" w:hAnsi="Consolas"/>
          <w:color w:val="263238"/>
          <w:sz w:val="16"/>
        </w:rPr>
        <w:t xml:space="preserve">  "StorageRoot": "App_Data/Imports",</w:t>
      </w:r>
      <w:r>
        <w:rPr>
          <w:rFonts w:ascii="Consolas" w:hAnsi="Consolas"/>
          <w:color w:val="263238"/>
          <w:sz w:val="16"/>
        </w:rPr>
        <w:br w:type="textWrapping"/>
      </w:r>
      <w:r>
        <w:rPr>
          <w:rFonts w:ascii="Consolas" w:hAnsi="Consolas"/>
          <w:color w:val="263238"/>
          <w:sz w:val="16"/>
        </w:rPr>
        <w:t xml:space="preserve">  "DetailedErrorLimit": 10000</w:t>
      </w:r>
      <w:r>
        <w:rPr>
          <w:rFonts w:ascii="Consolas" w:hAnsi="Consolas"/>
          <w:color w:val="263238"/>
          <w:sz w:val="16"/>
        </w:rPr>
        <w:br w:type="textWrapping"/>
      </w:r>
      <w:r>
        <w:rPr>
          <w:rFonts w:ascii="Consolas" w:hAnsi="Consolas"/>
          <w:color w:val="263238"/>
          <w:sz w:val="16"/>
        </w:rPr>
        <w:t>}</w:t>
      </w:r>
    </w:p>
    <w:p w14:paraId="0B5D2A99">
      <w:pPr>
        <w:pStyle w:val="164"/>
        <w:widowControl/>
        <w:spacing w:before="0" w:after="120" w:line="269" w:lineRule="auto"/>
      </w:pPr>
      <w:r>
        <w:rPr>
          <w:rFonts w:ascii="Cambria" w:hAnsi="Cambria"/>
          <w:sz w:val="21"/>
        </w:rPr>
        <w:t>The current local storage implementation creates a path by WorkspaceId and DatasetId, then saves the upload with a generated GUID filename while preserving the original name in metadata. IFileStorageService allows Azure Blob Storage or another provider to replace local storage without changing controller or orchestration code.</w:t>
      </w:r>
    </w:p>
    <w:p w14:paraId="2E017C46">
      <w:pPr>
        <w:pStyle w:val="164"/>
        <w:keepNext/>
        <w:widowControl/>
        <w:spacing w:before="0" w:after="120" w:line="269" w:lineRule="auto"/>
      </w:pPr>
      <w:r>
        <w:rPr>
          <w:rFonts w:ascii="Cambria" w:hAnsi="Cambria"/>
          <w:b/>
          <w:color w:val="17365D"/>
          <w:sz w:val="21"/>
        </w:rPr>
        <w:t>Deployment steps:</w:t>
      </w:r>
    </w:p>
    <w:p w14:paraId="0CFCED3D">
      <w:pPr>
        <w:pStyle w:val="29"/>
        <w:numPr>
          <w:ilvl w:val="0"/>
          <w:numId w:val="8"/>
        </w:numPr>
        <w:spacing w:after="60" w:line="254" w:lineRule="auto"/>
      </w:pPr>
      <w:r>
        <w:rPr>
          <w:rFonts w:ascii="Cambria" w:hAnsi="Cambria"/>
          <w:sz w:val="20"/>
        </w:rPr>
        <w:t>Install the .NET 8 SDK and configure the SQL Server connection string.</w:t>
      </w:r>
    </w:p>
    <w:p w14:paraId="3DD7A410">
      <w:pPr>
        <w:pStyle w:val="29"/>
        <w:numPr>
          <w:ilvl w:val="0"/>
          <w:numId w:val="8"/>
        </w:numPr>
        <w:spacing w:after="60" w:line="254" w:lineRule="auto"/>
      </w:pPr>
      <w:r>
        <w:rPr>
          <w:rFonts w:ascii="Cambria" w:hAnsi="Cambria"/>
          <w:sz w:val="20"/>
        </w:rPr>
        <w:t>Review JWT/default administrator settings and replace all development secrets.</w:t>
      </w:r>
    </w:p>
    <w:p w14:paraId="1A47A137">
      <w:pPr>
        <w:pStyle w:val="29"/>
        <w:numPr>
          <w:ilvl w:val="0"/>
          <w:numId w:val="8"/>
        </w:numPr>
        <w:spacing w:after="60" w:line="254" w:lineRule="auto"/>
      </w:pPr>
      <w:r>
        <w:rPr>
          <w:rFonts w:ascii="Cambria" w:hAnsi="Cambria"/>
          <w:sz w:val="20"/>
        </w:rPr>
        <w:t>Run dotnet restore and dotnet build.</w:t>
      </w:r>
    </w:p>
    <w:p w14:paraId="4C54ED86">
      <w:pPr>
        <w:pStyle w:val="29"/>
        <w:numPr>
          <w:ilvl w:val="0"/>
          <w:numId w:val="8"/>
        </w:numPr>
        <w:spacing w:after="60" w:line="254" w:lineRule="auto"/>
      </w:pPr>
      <w:r>
        <w:rPr>
          <w:rFonts w:ascii="Cambria" w:hAnsi="Cambria"/>
          <w:sz w:val="20"/>
        </w:rPr>
        <w:t>Apply migrations with dotnet ef database update --project EnterpriseDataIntelligencePlatform, or allow startup migration to run.</w:t>
      </w:r>
    </w:p>
    <w:p w14:paraId="025D86E9">
      <w:pPr>
        <w:pStyle w:val="29"/>
        <w:numPr>
          <w:ilvl w:val="0"/>
          <w:numId w:val="8"/>
        </w:numPr>
        <w:spacing w:after="60" w:line="254" w:lineRule="auto"/>
      </w:pPr>
      <w:r>
        <w:rPr>
          <w:rFonts w:ascii="Cambria" w:hAnsi="Cambria"/>
          <w:sz w:val="20"/>
        </w:rPr>
        <w:t>Ensure the configured ingestion storage root is writable and included in backup/retention policy.</w:t>
      </w:r>
    </w:p>
    <w:p w14:paraId="40493676">
      <w:pPr>
        <w:pStyle w:val="29"/>
        <w:numPr>
          <w:ilvl w:val="0"/>
          <w:numId w:val="8"/>
        </w:numPr>
        <w:spacing w:after="60" w:line="254" w:lineRule="auto"/>
      </w:pPr>
      <w:r>
        <w:rPr>
          <w:rFonts w:ascii="Cambria" w:hAnsi="Cambria"/>
          <w:sz w:val="20"/>
        </w:rPr>
        <w:t>Run the API, authorize Swagger with a JWT and exercise the import flow using the supplied Postman collection.</w:t>
      </w:r>
    </w:p>
    <w:p w14:paraId="4DB5B2AF">
      <w:pPr>
        <w:pStyle w:val="3"/>
        <w:keepNext/>
      </w:pPr>
      <w:r>
        <w:t>9. Validation, Tests and Supporting Evidence</w:t>
      </w:r>
    </w:p>
    <w:p w14:paraId="7C685CC4">
      <w:pPr>
        <w:pStyle w:val="164"/>
        <w:widowControl/>
        <w:spacing w:before="0" w:after="120" w:line="269" w:lineRule="auto"/>
      </w:pPr>
      <w:r>
        <w:rPr>
          <w:rFonts w:ascii="Cambria" w:hAnsi="Cambria"/>
          <w:sz w:val="21"/>
        </w:rPr>
        <w:t>The ingestion test suite defines 13 test cases when xUnit theory rows are expanded. The coverage focuses on the module’s externally important rules:</w:t>
      </w:r>
    </w:p>
    <w:p w14:paraId="67EFB844">
      <w:pPr>
        <w:pStyle w:val="23"/>
        <w:spacing w:after="50" w:line="252" w:lineRule="auto"/>
      </w:pPr>
      <w:r>
        <w:rPr>
          <w:rFonts w:ascii="Cambria" w:hAnsi="Cambria"/>
          <w:sz w:val="20"/>
        </w:rPr>
        <w:t>CSV/XLSX acceptance, unsupported extensions, empty files and the 25 MB boundary.</w:t>
      </w:r>
    </w:p>
    <w:p w14:paraId="7C0DFF9C">
      <w:pPr>
        <w:pStyle w:val="23"/>
        <w:spacing w:after="50" w:line="252" w:lineRule="auto"/>
      </w:pPr>
      <w:r>
        <w:rPr>
          <w:rFonts w:ascii="Cambria" w:hAnsi="Cambria"/>
          <w:sz w:val="20"/>
        </w:rPr>
        <w:t>Controlled start transitions from Created versus Queued/Processing.</w:t>
      </w:r>
    </w:p>
    <w:p w14:paraId="3777BE46">
      <w:pPr>
        <w:pStyle w:val="23"/>
        <w:spacing w:after="50" w:line="252" w:lineRule="auto"/>
      </w:pPr>
      <w:r>
        <w:rPr>
          <w:rFonts w:ascii="Cambria" w:hAnsi="Cambria"/>
          <w:sz w:val="20"/>
        </w:rPr>
        <w:t>Completed versus Completed With Errors terminal-status selection.</w:t>
      </w:r>
    </w:p>
    <w:p w14:paraId="3A0A73EB">
      <w:pPr>
        <w:pStyle w:val="23"/>
        <w:spacing w:after="50" w:line="252" w:lineRule="auto"/>
      </w:pPr>
      <w:r>
        <w:rPr>
          <w:rFonts w:ascii="Cambria" w:hAnsi="Cambria"/>
          <w:sz w:val="20"/>
        </w:rPr>
        <w:t>Permission attributes on upload, start, status and cancellation operations.</w:t>
      </w:r>
    </w:p>
    <w:p w14:paraId="333929D0">
      <w:pPr>
        <w:pStyle w:val="23"/>
        <w:spacing w:after="50" w:line="252" w:lineRule="auto"/>
      </w:pPr>
      <w:r>
        <w:rPr>
          <w:rFonts w:ascii="Cambria" w:hAnsi="Cambria"/>
          <w:sz w:val="20"/>
        </w:rPr>
        <w:t>Workspace isolation through the DataImport query filter.</w:t>
      </w:r>
    </w:p>
    <w:p w14:paraId="61F6D2E3">
      <w:pPr>
        <w:pStyle w:val="165"/>
        <w:pBdr>
          <w:left w:val="single" w:color="4F81BD" w:sz="18" w:space="8"/>
        </w:pBdr>
        <w:shd w:val="clear" w:fill="F2F2F2"/>
        <w:spacing w:before="80" w:after="160" w:line="240" w:lineRule="auto"/>
        <w:ind w:left="216" w:right="72"/>
      </w:pPr>
      <w:r>
        <w:rPr>
          <w:rFonts w:ascii="Consolas" w:hAnsi="Consolas"/>
          <w:color w:val="263238"/>
          <w:sz w:val="16"/>
        </w:rPr>
        <w:t>dotnet test</w:t>
      </w:r>
    </w:p>
    <w:p w14:paraId="676FD0C4">
      <w:pPr>
        <w:pStyle w:val="164"/>
        <w:widowControl/>
        <w:spacing w:before="0" w:after="120" w:line="269" w:lineRule="auto"/>
      </w:pPr>
      <w:r>
        <w:rPr>
          <w:rFonts w:ascii="Cambria" w:hAnsi="Cambria"/>
          <w:sz w:val="21"/>
        </w:rPr>
        <w:t>The supplied Data Import &amp; Ingestion Postman collection contains eight core requests: upload, create, start, details, history, errors, cancel and schema lookup. The key-column update endpoint can be validated separately through Swagger or any REST client using the documented PUT route.</w:t>
      </w:r>
    </w:p>
    <w:p w14:paraId="4401B5DF">
      <w:pPr>
        <w:pStyle w:val="3"/>
        <w:keepNext/>
      </w:pPr>
      <w:r>
        <w:t>10. Acceptance Checklist</w:t>
      </w:r>
    </w:p>
    <w:p w14:paraId="32986CED">
      <w:pPr>
        <w:pStyle w:val="23"/>
        <w:spacing w:after="50" w:line="252" w:lineRule="auto"/>
      </w:pPr>
      <w:r>
        <w:rPr>
          <w:rFonts w:ascii="Cambria" w:hAnsi="Cambria"/>
          <w:sz w:val="20"/>
        </w:rPr>
        <w:t>Implemented — secured CSV/XLSX upload with size, extension and empty-file validation.</w:t>
      </w:r>
    </w:p>
    <w:p w14:paraId="5B2575B8">
      <w:pPr>
        <w:pStyle w:val="23"/>
        <w:spacing w:after="50" w:line="252" w:lineRule="auto"/>
      </w:pPr>
      <w:r>
        <w:rPr>
          <w:rFonts w:ascii="Cambria" w:hAnsi="Cambria"/>
          <w:sz w:val="20"/>
        </w:rPr>
        <w:t>Implemented — sheet discovery and mandatory XLSX worksheet selection.</w:t>
      </w:r>
    </w:p>
    <w:p w14:paraId="2E8CBCFF">
      <w:pPr>
        <w:pStyle w:val="23"/>
        <w:spacing w:after="50" w:line="252" w:lineRule="auto"/>
      </w:pPr>
      <w:r>
        <w:rPr>
          <w:rFonts w:ascii="Cambria" w:hAnsi="Cambria"/>
          <w:sz w:val="20"/>
        </w:rPr>
        <w:t>Implemented — separate create and start operations with a background queue.</w:t>
      </w:r>
    </w:p>
    <w:p w14:paraId="7AFFD077">
      <w:pPr>
        <w:pStyle w:val="23"/>
        <w:spacing w:after="50" w:line="252" w:lineRule="auto"/>
      </w:pPr>
      <w:r>
        <w:rPr>
          <w:rFonts w:ascii="Cambria" w:hAnsi="Cambria"/>
          <w:sz w:val="20"/>
        </w:rPr>
        <w:t>Implemented — first-Full schema establishment and later exact-schema validation.</w:t>
      </w:r>
    </w:p>
    <w:p w14:paraId="0A1490C9">
      <w:pPr>
        <w:pStyle w:val="23"/>
        <w:spacing w:after="50" w:line="252" w:lineRule="auto"/>
      </w:pPr>
      <w:r>
        <w:rPr>
          <w:rFonts w:ascii="Cambria" w:hAnsi="Cambria"/>
          <w:sz w:val="20"/>
        </w:rPr>
        <w:t>Implemented — typed value storage, composite keys and SHA-256 fallback fingerprints.</w:t>
      </w:r>
    </w:p>
    <w:p w14:paraId="0E47EBCE">
      <w:pPr>
        <w:pStyle w:val="23"/>
        <w:spacing w:after="50" w:line="252" w:lineRule="auto"/>
      </w:pPr>
      <w:r>
        <w:rPr>
          <w:rFonts w:ascii="Cambria" w:hAnsi="Cambria"/>
          <w:sz w:val="20"/>
        </w:rPr>
        <w:t>Implemented — Full/Append modes and Skip/Reject/Update duplicate behavior.</w:t>
      </w:r>
    </w:p>
    <w:p w14:paraId="22AF30F5">
      <w:pPr>
        <w:pStyle w:val="23"/>
        <w:spacing w:after="50" w:line="252" w:lineRule="auto"/>
      </w:pPr>
      <w:r>
        <w:rPr>
          <w:rFonts w:ascii="Cambria" w:hAnsi="Cambria"/>
          <w:sz w:val="20"/>
        </w:rPr>
        <w:t>Implemented — persistent row-level errors and Completed With Errors status.</w:t>
      </w:r>
    </w:p>
    <w:p w14:paraId="42161894">
      <w:pPr>
        <w:pStyle w:val="23"/>
        <w:spacing w:after="50" w:line="252" w:lineRule="auto"/>
      </w:pPr>
      <w:r>
        <w:rPr>
          <w:rFonts w:ascii="Cambria" w:hAnsi="Cambria"/>
          <w:sz w:val="20"/>
        </w:rPr>
        <w:t>Implemented — transactional final mutation, cancellation and active-import guard.</w:t>
      </w:r>
    </w:p>
    <w:p w14:paraId="535B66D7">
      <w:pPr>
        <w:pStyle w:val="23"/>
        <w:spacing w:after="50" w:line="252" w:lineRule="auto"/>
      </w:pPr>
      <w:r>
        <w:rPr>
          <w:rFonts w:ascii="Cambria" w:hAnsi="Cambria"/>
          <w:sz w:val="20"/>
        </w:rPr>
        <w:t>Implemented — paged details/history/errors and key-column management.</w:t>
      </w:r>
    </w:p>
    <w:p w14:paraId="4E59AB02">
      <w:pPr>
        <w:pStyle w:val="23"/>
        <w:spacing w:after="50" w:line="252" w:lineRule="auto"/>
      </w:pPr>
      <w:r>
        <w:rPr>
          <w:rFonts w:ascii="Cambria" w:hAnsi="Cambria"/>
          <w:sz w:val="20"/>
        </w:rPr>
        <w:t>Implemented — migration, permissions, workspace filters, audit calls, tests and Postman assets.</w:t>
      </w:r>
    </w:p>
    <w:p w14:paraId="3075BEBA">
      <w:pPr>
        <w:pStyle w:val="3"/>
        <w:keepNext/>
      </w:pPr>
      <w:r>
        <w:t>11. Production-Readiness Notes</w:t>
      </w:r>
    </w:p>
    <w:p w14:paraId="4182DE9E">
      <w:pPr>
        <w:pStyle w:val="164"/>
        <w:pBdr>
          <w:top w:val="single" w:color="AFC8DD" w:sz="6" w:space="6"/>
          <w:left w:val="single" w:color="AFC8DD" w:sz="6" w:space="6"/>
          <w:bottom w:val="single" w:color="AFC8DD" w:sz="6" w:space="6"/>
          <w:right w:val="single" w:color="AFC8DD" w:sz="6" w:space="6"/>
        </w:pBdr>
        <w:shd w:val="clear" w:fill="FFF2CC"/>
        <w:spacing w:before="80" w:after="200" w:line="259" w:lineRule="auto"/>
        <w:ind w:left="144" w:right="144"/>
      </w:pPr>
      <w:r>
        <w:rPr>
          <w:rFonts w:ascii="Cambria" w:hAnsi="Cambria"/>
          <w:b/>
          <w:color w:val="17365D"/>
          <w:sz w:val="21"/>
        </w:rPr>
        <w:t xml:space="preserve">Important. </w:t>
      </w:r>
      <w:r>
        <w:rPr>
          <w:rFonts w:ascii="Cambria" w:hAnsi="Cambria"/>
          <w:sz w:val="21"/>
        </w:rPr>
        <w:t>The module is complete for the current scope, but the following operational improvements should be scheduled before high-volume production use.</w:t>
      </w:r>
    </w:p>
    <w:p w14:paraId="668B7F22">
      <w:pPr>
        <w:pStyle w:val="23"/>
        <w:spacing w:after="50" w:line="252" w:lineRule="auto"/>
      </w:pPr>
      <w:r>
        <w:rPr>
          <w:rFonts w:ascii="Cambria" w:hAnsi="Cambria"/>
          <w:sz w:val="20"/>
        </w:rPr>
        <w:t>The queue is in memory. A process restart can lose queued IDs; use a durable queue or database-backed dispatcher for production resilience.</w:t>
      </w:r>
    </w:p>
    <w:p w14:paraId="01FFF7EB">
      <w:pPr>
        <w:pStyle w:val="23"/>
        <w:spacing w:after="50" w:line="252" w:lineRule="auto"/>
      </w:pPr>
      <w:r>
        <w:rPr>
          <w:rFonts w:ascii="Cambria" w:hAnsi="Cambria"/>
          <w:sz w:val="20"/>
        </w:rPr>
        <w:t>The implementation enforces 25 MB directly in the request attribute and ImportRules. Bind the Ingestion options so MaxFileSizeMb becomes the single source of truth.</w:t>
      </w:r>
    </w:p>
    <w:p w14:paraId="4E64A35A">
      <w:pPr>
        <w:pStyle w:val="23"/>
        <w:spacing w:after="50" w:line="252" w:lineRule="auto"/>
      </w:pPr>
      <w:r>
        <w:rPr>
          <w:rFonts w:ascii="Cambria" w:hAnsi="Cambria"/>
          <w:sz w:val="20"/>
        </w:rPr>
        <w:t>DetailedErrorLimit is configured, but the current processor stores all detected errors. Enforce the limit and retain aggregate counts for very large files.</w:t>
      </w:r>
    </w:p>
    <w:p w14:paraId="34D6B45C">
      <w:pPr>
        <w:pStyle w:val="23"/>
        <w:spacing w:after="50" w:line="252" w:lineRule="auto"/>
      </w:pPr>
      <w:r>
        <w:rPr>
          <w:rFonts w:ascii="Cambria" w:hAnsi="Cambria"/>
          <w:sz w:val="20"/>
        </w:rPr>
        <w:t>The processor materializes parsed rows and staging entities in memory. Introduce streaming and batched database writes for larger scale.</w:t>
      </w:r>
    </w:p>
    <w:p w14:paraId="4EE41A59">
      <w:pPr>
        <w:pStyle w:val="23"/>
        <w:spacing w:after="50" w:line="252" w:lineRule="auto"/>
      </w:pPr>
      <w:r>
        <w:rPr>
          <w:rFonts w:ascii="Cambria" w:hAnsi="Cambria"/>
          <w:sz w:val="20"/>
        </w:rPr>
        <w:t>Define upload retention, cleanup, malware scanning, content-type verification and storage encryption policies.</w:t>
      </w:r>
    </w:p>
    <w:p w14:paraId="13016F8D">
      <w:pPr>
        <w:pStyle w:val="23"/>
        <w:spacing w:after="50" w:line="252" w:lineRule="auto"/>
      </w:pPr>
      <w:r>
        <w:rPr>
          <w:rFonts w:ascii="Cambria" w:hAnsi="Cambria"/>
          <w:sz w:val="20"/>
        </w:rPr>
        <w:t>Schema evolution is intentionally out of scope; later imports must match the established columns exactly.</w:t>
      </w:r>
    </w:p>
    <w:p w14:paraId="63B73C0A">
      <w:pPr>
        <w:pStyle w:val="23"/>
        <w:spacing w:after="50" w:line="252" w:lineRule="auto"/>
      </w:pPr>
      <w:r>
        <w:rPr>
          <w:rFonts w:ascii="Cambria" w:hAnsi="Cambria"/>
          <w:sz w:val="20"/>
        </w:rPr>
        <w:t>Add integration tests for corrupt workbooks, transactional rollback, duplicate behavior against existing records, concurrent starts and cancellation during processing.</w:t>
      </w:r>
    </w:p>
    <w:p>
      <w:r>
        <w:br w:type="page"/>
      </w:r>
    </w:p>
    <w:p>
      <w:pPr>
        <w:pStyle w:val="2"/>
        <w:keepNext/>
      </w:pPr>
      <w:r>
        <w:t>Data Transformation, Mapping &amp; Validation Rules Module</w:t>
      </w:r>
    </w:p>
    <w:p>
      <w:pPr>
        <w:pStyle w:val="164"/>
        <w:spacing w:before="60" w:after="140"/>
        <w:ind w:left="173"/>
        <w:shd w:fill="DDEBF7"/>
        <w:pBdr>
          <w:left w:val="single" w:sz="18" w:space="6" w:color="4F81BD"/>
        </w:pBdr>
      </w:pPr>
      <w:r>
        <w:rPr>
          <w:b/>
        </w:rPr>
        <w:t xml:space="preserve">Implementation outcome. </w:t>
      </w:r>
      <w:r>
        <w:t>Task 18 adds reusable source-to-target mappings, immutable configuration versions, ordered field transformations, ordered validation rules, import-time configuration pinning, non-persistent previews, categorized row errors, workspace isolation and permission-based access.</w:t>
      </w:r>
    </w:p>
    <w:p>
      <w:pPr>
        <w:pStyle w:val="164"/>
        <w:keepNext/>
      </w:pPr>
      <w:r>
        <w:t>Module scope: Extension of the Task 17 Data Import &amp; Ingestion pipeline and the existing Dataset Management/Data Catalog platform.</w:t>
      </w:r>
    </w:p>
    <w:p>
      <w:pPr>
        <w:pStyle w:val="164"/>
        <w:keepNext/>
      </w:pPr>
      <w:r>
        <w:t>Technology baseline: .NET 8, ASP.NET Core Web API, Entity Framework Core, SQL Server, System.Text.Json and the existing background import processor.</w:t>
      </w:r>
    </w:p>
    <w:p>
      <w:pPr>
        <w:pStyle w:val="164"/>
        <w:keepNext w:val="0"/>
      </w:pPr>
      <w:r>
        <w:t>Prepared: 20 August 2026.</w:t>
      </w:r>
    </w:p>
    <w:p>
      <w:pPr>
        <w:pStyle w:val="3"/>
      </w:pPr>
      <w:r>
        <w:t>1. Module Objective</w:t>
      </w:r>
    </w:p>
    <w:p>
      <w:pPr>
        <w:pStyle w:val="164"/>
        <w:keepNext w:val="0"/>
      </w:pPr>
      <w:r>
        <w:t>The module converts staged source values into dataset-ready values through explicit mappings, deterministic transformation order and reusable validation rules. It preserves reproducibility by capturing a configuration identifier and integer version when an import is created.</w:t>
      </w:r>
    </w:p>
    <w:p>
      <w:pPr>
        <w:pStyle w:val="23"/>
        <w:spacing w:after="20"/>
      </w:pPr>
      <w:r>
        <w:t>Map uploaded source headers to existing DatasetColumn targets.</w:t>
      </w:r>
    </w:p>
    <w:p>
      <w:pPr>
        <w:pStyle w:val="23"/>
        <w:spacing w:after="20"/>
      </w:pPr>
      <w:r>
        <w:t>Apply mapping defaults before ordered transformation rules.</w:t>
      </w:r>
    </w:p>
    <w:p>
      <w:pPr>
        <w:pStyle w:val="23"/>
        <w:spacing w:after="20"/>
      </w:pPr>
      <w:r>
        <w:t>Evaluate ordered validations after transformation and before duplicate handling and commit.</w:t>
      </w:r>
    </w:p>
    <w:p>
      <w:pPr>
        <w:pStyle w:val="23"/>
        <w:spacing w:after="20"/>
      </w:pPr>
      <w:r>
        <w:t>Persist row and field failures without discarding valid rows from the same import.</w:t>
      </w:r>
    </w:p>
    <w:p>
      <w:pPr>
        <w:pStyle w:val="23"/>
        <w:spacing w:after="20"/>
      </w:pPr>
      <w:r>
        <w:t>Preview transformed values and errors from staging without writing final dataset records.</w:t>
      </w:r>
    </w:p>
    <w:p>
      <w:pPr>
        <w:pStyle w:val="23"/>
        <w:spacing w:after="20"/>
      </w:pPr>
      <w:r>
        <w:t>Keep historical configuration versions immutable and prevent deletion after import use.</w:t>
      </w:r>
    </w:p>
    <w:p>
      <w:pPr>
        <w:pStyle w:val="3"/>
      </w:pPr>
      <w:r>
        <w:t>2. Delivered Scope</w:t>
      </w:r>
    </w:p>
    <w:p>
      <w:pPr>
        <w:pStyle w:val="23"/>
        <w:spacing w:after="20"/>
      </w:pPr>
      <w:r>
        <w:t>Dataset-level JSON configuration containing mappings, defaults, transformations and validations.</w:t>
      </w:r>
    </w:p>
    <w:p>
      <w:pPr>
        <w:pStyle w:val="23"/>
        <w:spacing w:after="20"/>
      </w:pPr>
      <w:r>
        <w:t>Automatic integer version creation with one active configuration per dataset.</w:t>
      </w:r>
    </w:p>
    <w:p>
      <w:pPr>
        <w:pStyle w:val="23"/>
        <w:spacing w:after="20"/>
      </w:pPr>
      <w:r>
        <w:t>Configuration pinning on DataImport so later edits cannot alter a created or running import.</w:t>
      </w:r>
    </w:p>
    <w:p>
      <w:pPr>
        <w:pStyle w:val="23"/>
        <w:spacing w:after="20"/>
      </w:pPr>
      <w:r>
        <w:t>Five secured REST operations for save, active lookup, history, deletion and preview.</w:t>
      </w:r>
    </w:p>
    <w:p>
      <w:pPr>
        <w:pStyle w:val="23"/>
        <w:spacing w:after="20"/>
      </w:pPr>
      <w:r>
        <w:t>Nine transformation types and nine validation rule types.</w:t>
      </w:r>
    </w:p>
    <w:p>
      <w:pPr>
        <w:pStyle w:val="23"/>
        <w:spacing w:after="20"/>
      </w:pPr>
      <w:r>
        <w:t>Task 17 KeyHash integration for duplicate evaluation after configured validations.</w:t>
      </w:r>
    </w:p>
    <w:p>
      <w:pPr>
        <w:pStyle w:val="23"/>
        <w:spacing w:after="20"/>
      </w:pPr>
      <w:r>
        <w:t>Transformation Error, Validation Error, Duplicate Error and Processing Error categorization.</w:t>
      </w:r>
    </w:p>
    <w:p>
      <w:pPr>
        <w:pStyle w:val="23"/>
        <w:spacing w:after="20"/>
      </w:pPr>
      <w:r>
        <w:t>Database migration, entity relationships, unique indexes, query filters, audit events and xUnit coverage.</w:t>
      </w:r>
    </w:p>
    <w:p>
      <w:pPr>
        <w:pStyle w:val="3"/>
      </w:pPr>
      <w:r>
        <w:t>3. Architecture and Component Responsibilities</w:t>
      </w:r>
    </w:p>
    <w:p>
      <w:pPr>
        <w:pStyle w:val="164"/>
        <w:keepNext w:val="0"/>
      </w:pPr>
      <w:r>
        <w:t>The module adds a small configuration and execution layer over the existing ingestion subsystem. Configuration writes are handled synchronously; execution occurs inside the existing background import processor.</w:t>
      </w:r>
    </w:p>
    <w:tbl>
      <w:tblPr>
        <w:tblW w:type="dxa" w:w="8640"/>
        <w:jc w:val="left"/>
        <w:tblLayout w:type="fixed"/>
        <w:tblLook w:firstColumn="1" w:firstRow="1" w:lastColumn="0" w:lastRow="0" w:noHBand="0" w:noVBand="1" w:val="04A0"/>
        <w:tblInd w:w="0" w:type="dxa"/>
      </w:tblPr>
      <w:tblGrid>
        <w:gridCol w:w="1350"/>
        <w:gridCol w:w="2200"/>
        <w:gridCol w:w="5090"/>
      </w:tblGrid>
      <w:tr>
        <w:trPr>
          <w:cantSplit/>
          <w:tblHeader w:val="true"/>
        </w:trPr>
        <w:tc>
          <w:tcPr>
            <w:tcW w:type="dxa" w:w="1350"/>
            <w:vAlign w:val="center"/>
            <w:tcMar>
              <w:top w:w="90" w:type="dxa"/>
              <w:start w:w="100" w:type="dxa"/>
              <w:bottom w:w="90" w:type="dxa"/>
              <w:end w:w="100" w:type="dxa"/>
            </w:tcMar>
            <w:shd w:fill="1F4E78"/>
          </w:tcPr>
          <w:p>
            <w:pPr>
              <w:keepNext/>
              <w:spacing w:before="0" w:after="0" w:line="240" w:lineRule="auto"/>
              <w:jc w:val="left"/>
            </w:pPr>
            <w:r>
              <w:rPr>
                <w:rFonts w:ascii="Calibri" w:hAnsi="Calibri"/>
                <w:b/>
                <w:color w:val="FFFFFF"/>
                <w:sz w:val="16"/>
              </w:rPr>
              <w:t>Layer</w:t>
            </w:r>
          </w:p>
        </w:tc>
        <w:tc>
          <w:tcPr>
            <w:tcW w:type="dxa" w:w="2200"/>
            <w:vAlign w:val="center"/>
            <w:tcMar>
              <w:top w:w="90" w:type="dxa"/>
              <w:start w:w="100" w:type="dxa"/>
              <w:bottom w:w="90" w:type="dxa"/>
              <w:end w:w="100" w:type="dxa"/>
            </w:tcMar>
            <w:shd w:fill="1F4E78"/>
          </w:tcPr>
          <w:p>
            <w:pPr>
              <w:keepNext/>
              <w:spacing w:before="0" w:after="0" w:line="240" w:lineRule="auto"/>
            </w:pPr>
            <w:r>
              <w:rPr>
                <w:rFonts w:ascii="Calibri" w:hAnsi="Calibri"/>
                <w:b/>
                <w:color w:val="FFFFFF"/>
                <w:sz w:val="16"/>
              </w:rPr>
              <w:t>Component</w:t>
            </w:r>
          </w:p>
        </w:tc>
        <w:tc>
          <w:tcPr>
            <w:tcW w:type="dxa" w:w="5090"/>
            <w:vAlign w:val="center"/>
            <w:tcMar>
              <w:top w:w="90" w:type="dxa"/>
              <w:start w:w="100" w:type="dxa"/>
              <w:bottom w:w="90" w:type="dxa"/>
              <w:end w:w="100" w:type="dxa"/>
            </w:tcMar>
            <w:shd w:fill="1F4E78"/>
          </w:tcPr>
          <w:p>
            <w:pPr>
              <w:keepNext/>
              <w:spacing w:before="0" w:after="0" w:line="240" w:lineRule="auto"/>
            </w:pPr>
            <w:r>
              <w:rPr>
                <w:rFonts w:ascii="Calibri" w:hAnsi="Calibri"/>
                <w:b/>
                <w:color w:val="FFFFFF"/>
                <w:sz w:val="16"/>
              </w:rPr>
              <w:t>Responsibility</w:t>
            </w:r>
          </w:p>
        </w:tc>
      </w:tr>
      <w:tr>
        <w:trPr>
          <w:cantSplit/>
        </w:trPr>
        <w:tc>
          <w:tcPr>
            <w:tcW w:type="dxa" w:w="1350"/>
            <w:vAlign w:val="center"/>
            <w:tcMar>
              <w:top w:w="90" w:type="dxa"/>
              <w:start w:w="100" w:type="dxa"/>
              <w:bottom w:w="90" w:type="dxa"/>
              <w:end w:w="100" w:type="dxa"/>
            </w:tcMar>
            <w:shd w:fill="FFFFFF"/>
          </w:tcPr>
          <w:p>
            <w:pPr>
              <w:spacing w:before="0" w:after="0" w:line="240" w:lineRule="auto"/>
              <w:jc w:val="left"/>
            </w:pPr>
            <w:r>
              <w:rPr>
                <w:rFonts w:ascii="Calibri" w:hAnsi="Calibri"/>
                <w:b w:val="0"/>
                <w:color w:val="1F1F1F"/>
                <w:sz w:val="16"/>
              </w:rPr>
              <w:t>API</w:t>
            </w:r>
          </w:p>
        </w:tc>
        <w:tc>
          <w:tcPr>
            <w:tcW w:type="dxa" w:w="220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TransformationsController</w:t>
            </w:r>
          </w:p>
        </w:tc>
        <w:tc>
          <w:tcPr>
            <w:tcW w:type="dxa" w:w="509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Exposes configuration save, active lookup, history, delete and preview routes with permission attributes.</w:t>
            </w:r>
          </w:p>
        </w:tc>
      </w:tr>
      <w:tr>
        <w:trPr>
          <w:cantSplit/>
        </w:trPr>
        <w:tc>
          <w:tcPr>
            <w:tcW w:type="dxa" w:w="1350"/>
            <w:vAlign w:val="center"/>
            <w:tcMar>
              <w:top w:w="90" w:type="dxa"/>
              <w:start w:w="100" w:type="dxa"/>
              <w:bottom w:w="90" w:type="dxa"/>
              <w:end w:w="100" w:type="dxa"/>
            </w:tcMar>
            <w:shd w:fill="F7FAFC"/>
          </w:tcPr>
          <w:p>
            <w:pPr>
              <w:spacing w:before="0" w:after="0" w:line="240" w:lineRule="auto"/>
              <w:jc w:val="left"/>
            </w:pPr>
            <w:r>
              <w:rPr>
                <w:rFonts w:ascii="Calibri" w:hAnsi="Calibri"/>
                <w:b w:val="0"/>
                <w:color w:val="1F1F1F"/>
                <w:sz w:val="16"/>
              </w:rPr>
              <w:t>Contracts</w:t>
            </w:r>
          </w:p>
        </w:tc>
        <w:tc>
          <w:tcPr>
            <w:tcW w:type="dxa" w:w="220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TransformationModels</w:t>
            </w:r>
          </w:p>
        </w:tc>
        <w:tc>
          <w:tcPr>
            <w:tcW w:type="dxa" w:w="509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Defines mappings, ordered transformation/validation rules, configuration responses and preview rows/values.</w:t>
            </w:r>
          </w:p>
        </w:tc>
      </w:tr>
      <w:tr>
        <w:trPr>
          <w:cantSplit/>
        </w:trPr>
        <w:tc>
          <w:tcPr>
            <w:tcW w:type="dxa" w:w="1350"/>
            <w:vAlign w:val="center"/>
            <w:tcMar>
              <w:top w:w="90" w:type="dxa"/>
              <w:start w:w="100" w:type="dxa"/>
              <w:bottom w:w="90" w:type="dxa"/>
              <w:end w:w="100" w:type="dxa"/>
            </w:tcMar>
            <w:shd w:fill="FFFFFF"/>
          </w:tcPr>
          <w:p>
            <w:pPr>
              <w:spacing w:before="0" w:after="0" w:line="240" w:lineRule="auto"/>
              <w:jc w:val="left"/>
            </w:pPr>
            <w:r>
              <w:rPr>
                <w:rFonts w:ascii="Calibri" w:hAnsi="Calibri"/>
                <w:b w:val="0"/>
                <w:color w:val="1F1F1F"/>
                <w:sz w:val="16"/>
              </w:rPr>
              <w:t>Orchestration</w:t>
            </w:r>
          </w:p>
        </w:tc>
        <w:tc>
          <w:tcPr>
            <w:tcW w:type="dxa" w:w="220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TransformationService</w:t>
            </w:r>
          </w:p>
        </w:tc>
        <w:tc>
          <w:tcPr>
            <w:tcW w:type="dxa" w:w="509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Validates references, creates versions, selects active/pinned configuration, protects used versions and writes audit events.</w:t>
            </w:r>
          </w:p>
        </w:tc>
      </w:tr>
      <w:tr>
        <w:trPr>
          <w:cantSplit/>
        </w:trPr>
        <w:tc>
          <w:tcPr>
            <w:tcW w:type="dxa" w:w="1350"/>
            <w:vAlign w:val="center"/>
            <w:tcMar>
              <w:top w:w="90" w:type="dxa"/>
              <w:start w:w="100" w:type="dxa"/>
              <w:bottom w:w="90" w:type="dxa"/>
              <w:end w:w="100" w:type="dxa"/>
            </w:tcMar>
            <w:shd w:fill="F7FAFC"/>
          </w:tcPr>
          <w:p>
            <w:pPr>
              <w:spacing w:before="0" w:after="0" w:line="240" w:lineRule="auto"/>
              <w:jc w:val="left"/>
            </w:pPr>
            <w:r>
              <w:rPr>
                <w:rFonts w:ascii="Calibri" w:hAnsi="Calibri"/>
                <w:b w:val="0"/>
                <w:color w:val="1F1F1F"/>
                <w:sz w:val="16"/>
              </w:rPr>
              <w:t>Execution</w:t>
            </w:r>
          </w:p>
        </w:tc>
        <w:tc>
          <w:tcPr>
            <w:tcW w:type="dxa" w:w="220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TransformationEngine</w:t>
            </w:r>
          </w:p>
        </w:tc>
        <w:tc>
          <w:tcPr>
            <w:tcW w:type="dxa" w:w="509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Applies default, ordered transformations and ordered validations using invariant-culture conversions.</w:t>
            </w:r>
          </w:p>
        </w:tc>
      </w:tr>
      <w:tr>
        <w:trPr>
          <w:cantSplit/>
        </w:trPr>
        <w:tc>
          <w:tcPr>
            <w:tcW w:type="dxa" w:w="1350"/>
            <w:vAlign w:val="center"/>
            <w:tcMar>
              <w:top w:w="90" w:type="dxa"/>
              <w:start w:w="100" w:type="dxa"/>
              <w:bottom w:w="90" w:type="dxa"/>
              <w:end w:w="100" w:type="dxa"/>
            </w:tcMar>
            <w:shd w:fill="FFFFFF"/>
          </w:tcPr>
          <w:p>
            <w:pPr>
              <w:spacing w:before="0" w:after="0" w:line="240" w:lineRule="auto"/>
              <w:jc w:val="left"/>
            </w:pPr>
            <w:r>
              <w:rPr>
                <w:rFonts w:ascii="Calibri" w:hAnsi="Calibri"/>
                <w:b w:val="0"/>
                <w:color w:val="1F1F1F"/>
                <w:sz w:val="16"/>
              </w:rPr>
              <w:t>Integration</w:t>
            </w:r>
          </w:p>
        </w:tc>
        <w:tc>
          <w:tcPr>
            <w:tcW w:type="dxa" w:w="220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ImportService</w:t>
            </w:r>
          </w:p>
        </w:tc>
        <w:tc>
          <w:tcPr>
            <w:tcW w:type="dxa" w:w="509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Captures active configuration ID and version when an import is created.</w:t>
            </w:r>
          </w:p>
        </w:tc>
      </w:tr>
      <w:tr>
        <w:trPr>
          <w:cantSplit/>
        </w:trPr>
        <w:tc>
          <w:tcPr>
            <w:tcW w:type="dxa" w:w="1350"/>
            <w:vAlign w:val="center"/>
            <w:tcMar>
              <w:top w:w="90" w:type="dxa"/>
              <w:start w:w="100" w:type="dxa"/>
              <w:bottom w:w="90" w:type="dxa"/>
              <w:end w:w="100" w:type="dxa"/>
            </w:tcMar>
            <w:shd w:fill="F7FAFC"/>
          </w:tcPr>
          <w:p>
            <w:pPr>
              <w:spacing w:before="0" w:after="0" w:line="240" w:lineRule="auto"/>
              <w:jc w:val="left"/>
            </w:pPr>
            <w:r>
              <w:rPr>
                <w:rFonts w:ascii="Calibri" w:hAnsi="Calibri"/>
                <w:b w:val="0"/>
                <w:color w:val="1F1F1F"/>
                <w:sz w:val="16"/>
              </w:rPr>
              <w:t>Processing</w:t>
            </w:r>
          </w:p>
        </w:tc>
        <w:tc>
          <w:tcPr>
            <w:tcW w:type="dxa" w:w="220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ImportProcessor</w:t>
            </w:r>
          </w:p>
        </w:tc>
        <w:tc>
          <w:tcPr>
            <w:tcW w:type="dxa" w:w="509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Loads pinned JSON, validates mapping headers/targets, transforms staged rows, persists errors and commits valid records.</w:t>
            </w:r>
          </w:p>
        </w:tc>
      </w:tr>
      <w:tr>
        <w:trPr>
          <w:cantSplit/>
        </w:trPr>
        <w:tc>
          <w:tcPr>
            <w:tcW w:type="dxa" w:w="1350"/>
            <w:vAlign w:val="center"/>
            <w:tcMar>
              <w:top w:w="90" w:type="dxa"/>
              <w:start w:w="100" w:type="dxa"/>
              <w:bottom w:w="90" w:type="dxa"/>
              <w:end w:w="100" w:type="dxa"/>
            </w:tcMar>
            <w:shd w:fill="FFFFFF"/>
          </w:tcPr>
          <w:p>
            <w:pPr>
              <w:spacing w:before="0" w:after="0" w:line="240" w:lineRule="auto"/>
              <w:jc w:val="left"/>
            </w:pPr>
            <w:r>
              <w:rPr>
                <w:rFonts w:ascii="Calibri" w:hAnsi="Calibri"/>
                <w:b w:val="0"/>
                <w:color w:val="1F1F1F"/>
                <w:sz w:val="16"/>
              </w:rPr>
              <w:t>Persistence</w:t>
            </w:r>
          </w:p>
        </w:tc>
        <w:tc>
          <w:tcPr>
            <w:tcW w:type="dxa" w:w="220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AppDbContext / migration</w:t>
            </w:r>
          </w:p>
        </w:tc>
        <w:tc>
          <w:tcPr>
            <w:tcW w:type="dxa" w:w="509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Stores immutable configuration JSON, active/version indexes, import pinning fields and validation-rule metadata.</w:t>
            </w:r>
          </w:p>
        </w:tc>
      </w:tr>
    </w:tbl>
    <w:p>
      <w:pPr>
        <w:pStyle w:val="164"/>
        <w:spacing w:after="40"/>
      </w:pPr>
    </w:p>
    <w:p>
      <w:pPr>
        <w:pStyle w:val="3"/>
      </w:pPr>
      <w:r>
        <w:t>4. End-to-End Processing Flow</w:t>
      </w:r>
    </w:p>
    <w:p>
      <w:pPr>
        <w:pStyle w:val="165"/>
        <w:keepLines/>
        <w:spacing w:before="40" w:after="100"/>
        <w:shd w:fill="F2F2F2"/>
      </w:pPr>
      <w:r>
        <w:t>Upload -&gt; Stage -&gt; Map -&gt; Default -&gt; Ordered Transformations -&gt; Ordered Validations -&gt; KeyHash Duplicate Validation -&gt; Process -&gt; Commit</w:t>
      </w:r>
    </w:p>
    <w:p>
      <w:pPr>
        <w:pStyle w:val="29"/>
        <w:spacing w:after="20"/>
        <w:numPr>
          <w:ilvl w:val="0"/>
          <w:numId w:val="9"/>
        </w:numPr>
      </w:pPr>
      <w:r>
        <w:t>The upload is parsed and staged through the Task 17 pipeline.</w:t>
      </w:r>
    </w:p>
    <w:p>
      <w:pPr>
        <w:pStyle w:val="29"/>
        <w:spacing w:after="20"/>
        <w:numPr>
          <w:ilvl w:val="0"/>
          <w:numId w:val="9"/>
        </w:numPr>
      </w:pPr>
      <w:r>
        <w:t>Each configured source header is resolved to an existing target DatasetColumn.</w:t>
      </w:r>
    </w:p>
    <w:p>
      <w:pPr>
        <w:pStyle w:val="29"/>
        <w:spacing w:after="20"/>
        <w:numPr>
          <w:ilvl w:val="0"/>
          <w:numId w:val="9"/>
        </w:numPr>
      </w:pPr>
      <w:r>
        <w:t>An empty source first receives the mapping-level DefaultValue, when supplied.</w:t>
      </w:r>
    </w:p>
    <w:p>
      <w:pPr>
        <w:pStyle w:val="29"/>
        <w:spacing w:after="20"/>
        <w:numPr>
          <w:ilvl w:val="0"/>
          <w:numId w:val="9"/>
        </w:numPr>
      </w:pPr>
      <w:r>
        <w:t>Transformation rules run in ascending Sequence order.</w:t>
      </w:r>
    </w:p>
    <w:p>
      <w:pPr>
        <w:pStyle w:val="29"/>
        <w:spacing w:after="20"/>
        <w:numPr>
          <w:ilvl w:val="0"/>
          <w:numId w:val="9"/>
        </w:numPr>
      </w:pPr>
      <w:r>
        <w:t>Validation rules run in ascending Sequence order against the transformed value and target data type.</w:t>
      </w:r>
    </w:p>
    <w:p>
      <w:pPr>
        <w:pStyle w:val="29"/>
        <w:spacing w:after="20"/>
        <w:numPr>
          <w:ilvl w:val="0"/>
          <w:numId w:val="9"/>
        </w:numPr>
      </w:pPr>
      <w:r>
        <w:t>Duplicate behavior remains owned by configured dataset key columns and the KeyHash pipeline.</w:t>
      </w:r>
    </w:p>
    <w:p>
      <w:pPr>
        <w:pStyle w:val="29"/>
        <w:spacing w:after="20"/>
        <w:numPr>
          <w:ilvl w:val="0"/>
          <w:numId w:val="9"/>
        </w:numPr>
      </w:pPr>
      <w:r>
        <w:t>Invalid rows generate categorized ImportErrors; valid rows continue to final processing.</w:t>
      </w:r>
    </w:p>
    <w:p>
      <w:pPr>
        <w:pStyle w:val="29"/>
        <w:spacing w:after="20"/>
        <w:numPr>
          <w:ilvl w:val="0"/>
          <w:numId w:val="9"/>
        </w:numPr>
      </w:pPr>
      <w:r>
        <w:t>A critical exception or cancellation rolls back final mutation and preserves the previous dataset state.</w:t>
      </w:r>
    </w:p>
    <w:p>
      <w:pPr>
        <w:pStyle w:val="4"/>
      </w:pPr>
      <w:r>
        <w:t>4.1 Configuration Versioning and Pinning</w:t>
      </w:r>
    </w:p>
    <w:p>
      <w:pPr>
        <w:pStyle w:val="164"/>
        <w:keepNext w:val="0"/>
      </w:pPr>
      <w:r>
        <w:t>Each save computes max(existing version) + 1, deactivates the prior active row, and inserts a new active configuration. The unique DatasetId + Version index prevents duplicate version numbers; a filtered unique DatasetId + IsActive index enforces one active row.</w:t>
      </w:r>
    </w:p>
    <w:p>
      <w:pPr>
        <w:pStyle w:val="164"/>
        <w:spacing w:before="60" w:after="140"/>
        <w:ind w:left="173"/>
        <w:shd w:fill="EAF2F8"/>
        <w:pBdr>
          <w:left w:val="single" w:sz="18" w:space="6" w:color="4F81BD"/>
        </w:pBdr>
      </w:pPr>
      <w:r>
        <w:rPr>
          <w:b/>
        </w:rPr>
        <w:t xml:space="preserve">Pinning guarantee. </w:t>
      </w:r>
      <w:r>
        <w:t>DataImport stores TransformationConfigurationId and TransformationConfigurationVersion at import creation. The processor later loads that exact configuration JSON. Activating version 3 therefore cannot change an import created while version 2 was active.</w:t>
      </w:r>
    </w:p>
    <w:p>
      <w:pPr>
        <w:pStyle w:val="164"/>
        <w:keepNext w:val="0"/>
      </w:pPr>
      <w:r>
        <w:t>A configuration referenced by any import returns 409 Conflict when deletion is requested. An unused version can be deleted. The current implementation does not automatically reactivate an older version if an unused active version is deleted.</w:t>
      </w:r>
    </w:p>
    <w:p>
      <w:pPr>
        <w:pStyle w:val="3"/>
      </w:pPr>
      <w:r>
        <w:t>5. Mapping and Rule Model</w:t>
      </w:r>
    </w:p>
    <w:p>
      <w:pPr>
        <w:pStyle w:val="164"/>
        <w:keepNext w:val="0"/>
      </w:pPr>
      <w:r>
        <w:t>A configuration contains one or more mappings. SourceColumn is the uploaded header, TargetColumnId must reference an existing DatasetColumn, IsRequired participates in empty-value validation, DefaultValue is applied before transformations, and rule parameters are stored with the immutable version.</w:t>
      </w:r>
    </w:p>
    <w:p>
      <w:pPr>
        <w:pStyle w:val="4"/>
      </w:pPr>
      <w:r>
        <w:t>5.1 Supported Transformations</w:t>
      </w:r>
    </w:p>
    <w:tbl>
      <w:tblPr>
        <w:tblW w:type="dxa" w:w="8640"/>
        <w:jc w:val="left"/>
        <w:tblLayout w:type="fixed"/>
        <w:tblLook w:firstColumn="1" w:firstRow="1" w:lastColumn="0" w:lastRow="0" w:noHBand="0" w:noVBand="1" w:val="04A0"/>
        <w:tblInd w:w="0" w:type="dxa"/>
      </w:tblPr>
      <w:tblGrid>
        <w:gridCol w:w="1500"/>
        <w:gridCol w:w="1600"/>
        <w:gridCol w:w="5540"/>
      </w:tblGrid>
      <w:tr>
        <w:trPr>
          <w:cantSplit/>
          <w:tblHeader w:val="true"/>
        </w:trPr>
        <w:tc>
          <w:tcPr>
            <w:tcW w:type="dxa" w:w="1500"/>
            <w:vAlign w:val="center"/>
            <w:tcMar>
              <w:top w:w="90" w:type="dxa"/>
              <w:start w:w="100" w:type="dxa"/>
              <w:bottom w:w="90" w:type="dxa"/>
              <w:end w:w="100" w:type="dxa"/>
            </w:tcMar>
            <w:shd w:fill="1F4E78"/>
          </w:tcPr>
          <w:p>
            <w:pPr>
              <w:keepNext/>
              <w:spacing w:before="0" w:after="0" w:line="240" w:lineRule="auto"/>
              <w:jc w:val="left"/>
            </w:pPr>
            <w:r>
              <w:rPr>
                <w:rFonts w:ascii="Calibri" w:hAnsi="Calibri"/>
                <w:b/>
                <w:color w:val="FFFFFF"/>
                <w:sz w:val="16"/>
              </w:rPr>
              <w:t>Type</w:t>
            </w:r>
          </w:p>
        </w:tc>
        <w:tc>
          <w:tcPr>
            <w:tcW w:type="dxa" w:w="1600"/>
            <w:vAlign w:val="center"/>
            <w:tcMar>
              <w:top w:w="90" w:type="dxa"/>
              <w:start w:w="100" w:type="dxa"/>
              <w:bottom w:w="90" w:type="dxa"/>
              <w:end w:w="100" w:type="dxa"/>
            </w:tcMar>
            <w:shd w:fill="1F4E78"/>
          </w:tcPr>
          <w:p>
            <w:pPr>
              <w:keepNext/>
              <w:spacing w:before="0" w:after="0" w:line="240" w:lineRule="auto"/>
            </w:pPr>
            <w:r>
              <w:rPr>
                <w:rFonts w:ascii="Calibri" w:hAnsi="Calibri"/>
                <w:b/>
                <w:color w:val="FFFFFF"/>
                <w:sz w:val="16"/>
              </w:rPr>
              <w:t>Parameters</w:t>
            </w:r>
          </w:p>
        </w:tc>
        <w:tc>
          <w:tcPr>
            <w:tcW w:type="dxa" w:w="5540"/>
            <w:vAlign w:val="center"/>
            <w:tcMar>
              <w:top w:w="90" w:type="dxa"/>
              <w:start w:w="100" w:type="dxa"/>
              <w:bottom w:w="90" w:type="dxa"/>
              <w:end w:w="100" w:type="dxa"/>
            </w:tcMar>
            <w:shd w:fill="1F4E78"/>
          </w:tcPr>
          <w:p>
            <w:pPr>
              <w:keepNext/>
              <w:spacing w:before="0" w:after="0" w:line="240" w:lineRule="auto"/>
            </w:pPr>
            <w:r>
              <w:rPr>
                <w:rFonts w:ascii="Calibri" w:hAnsi="Calibri"/>
                <w:b/>
                <w:color w:val="FFFFFF"/>
                <w:sz w:val="16"/>
              </w:rPr>
              <w:t>Behavior</w:t>
            </w:r>
          </w:p>
        </w:tc>
      </w:tr>
      <w:tr>
        <w:trPr>
          <w:cantSplit/>
        </w:trPr>
        <w:tc>
          <w:tcPr>
            <w:tcW w:type="dxa" w:w="1500"/>
            <w:vAlign w:val="center"/>
            <w:tcMar>
              <w:top w:w="90" w:type="dxa"/>
              <w:start w:w="100" w:type="dxa"/>
              <w:bottom w:w="90" w:type="dxa"/>
              <w:end w:w="100" w:type="dxa"/>
            </w:tcMar>
            <w:shd w:fill="FFFFFF"/>
          </w:tcPr>
          <w:p>
            <w:pPr>
              <w:spacing w:before="0" w:after="0" w:line="240" w:lineRule="auto"/>
              <w:jc w:val="left"/>
            </w:pPr>
            <w:r>
              <w:rPr>
                <w:rFonts w:ascii="Calibri" w:hAnsi="Calibri"/>
                <w:b w:val="0"/>
                <w:color w:val="1F1F1F"/>
                <w:sz w:val="16"/>
              </w:rPr>
              <w:t>Trim</w:t>
            </w:r>
          </w:p>
        </w:tc>
        <w:tc>
          <w:tcPr>
            <w:tcW w:type="dxa" w:w="160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None</w:t>
            </w:r>
          </w:p>
        </w:tc>
        <w:tc>
          <w:tcPr>
            <w:tcW w:type="dxa" w:w="554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Removes leading and trailing whitespace.</w:t>
            </w:r>
          </w:p>
        </w:tc>
      </w:tr>
      <w:tr>
        <w:trPr>
          <w:cantSplit/>
        </w:trPr>
        <w:tc>
          <w:tcPr>
            <w:tcW w:type="dxa" w:w="1500"/>
            <w:vAlign w:val="center"/>
            <w:tcMar>
              <w:top w:w="90" w:type="dxa"/>
              <w:start w:w="100" w:type="dxa"/>
              <w:bottom w:w="90" w:type="dxa"/>
              <w:end w:w="100" w:type="dxa"/>
            </w:tcMar>
            <w:shd w:fill="F7FAFC"/>
          </w:tcPr>
          <w:p>
            <w:pPr>
              <w:spacing w:before="0" w:after="0" w:line="240" w:lineRule="auto"/>
              <w:jc w:val="left"/>
            </w:pPr>
            <w:r>
              <w:rPr>
                <w:rFonts w:ascii="Calibri" w:hAnsi="Calibri"/>
                <w:b w:val="0"/>
                <w:color w:val="1F1F1F"/>
                <w:sz w:val="16"/>
              </w:rPr>
              <w:t>Uppercase</w:t>
            </w:r>
          </w:p>
        </w:tc>
        <w:tc>
          <w:tcPr>
            <w:tcW w:type="dxa" w:w="160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None</w:t>
            </w:r>
          </w:p>
        </w:tc>
        <w:tc>
          <w:tcPr>
            <w:tcW w:type="dxa" w:w="554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Converts text with ToUpperInvariant.</w:t>
            </w:r>
          </w:p>
        </w:tc>
      </w:tr>
      <w:tr>
        <w:trPr>
          <w:cantSplit/>
        </w:trPr>
        <w:tc>
          <w:tcPr>
            <w:tcW w:type="dxa" w:w="1500"/>
            <w:vAlign w:val="center"/>
            <w:tcMar>
              <w:top w:w="90" w:type="dxa"/>
              <w:start w:w="100" w:type="dxa"/>
              <w:bottom w:w="90" w:type="dxa"/>
              <w:end w:w="100" w:type="dxa"/>
            </w:tcMar>
            <w:shd w:fill="FFFFFF"/>
          </w:tcPr>
          <w:p>
            <w:pPr>
              <w:spacing w:before="0" w:after="0" w:line="240" w:lineRule="auto"/>
              <w:jc w:val="left"/>
            </w:pPr>
            <w:r>
              <w:rPr>
                <w:rFonts w:ascii="Calibri" w:hAnsi="Calibri"/>
                <w:b w:val="0"/>
                <w:color w:val="1F1F1F"/>
                <w:sz w:val="16"/>
              </w:rPr>
              <w:t>Lowercase</w:t>
            </w:r>
          </w:p>
        </w:tc>
        <w:tc>
          <w:tcPr>
            <w:tcW w:type="dxa" w:w="160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None</w:t>
            </w:r>
          </w:p>
        </w:tc>
        <w:tc>
          <w:tcPr>
            <w:tcW w:type="dxa" w:w="554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Converts text with ToLowerInvariant.</w:t>
            </w:r>
          </w:p>
        </w:tc>
      </w:tr>
      <w:tr>
        <w:trPr>
          <w:cantSplit/>
        </w:trPr>
        <w:tc>
          <w:tcPr>
            <w:tcW w:type="dxa" w:w="1500"/>
            <w:vAlign w:val="center"/>
            <w:tcMar>
              <w:top w:w="90" w:type="dxa"/>
              <w:start w:w="100" w:type="dxa"/>
              <w:bottom w:w="90" w:type="dxa"/>
              <w:end w:w="100" w:type="dxa"/>
            </w:tcMar>
            <w:shd w:fill="F7FAFC"/>
          </w:tcPr>
          <w:p>
            <w:pPr>
              <w:spacing w:before="0" w:after="0" w:line="240" w:lineRule="auto"/>
              <w:jc w:val="left"/>
            </w:pPr>
            <w:r>
              <w:rPr>
                <w:rFonts w:ascii="Calibri" w:hAnsi="Calibri"/>
                <w:b w:val="0"/>
                <w:color w:val="1F1F1F"/>
                <w:sz w:val="16"/>
              </w:rPr>
              <w:t>Replace</w:t>
            </w:r>
          </w:p>
        </w:tc>
        <w:tc>
          <w:tcPr>
            <w:tcW w:type="dxa" w:w="160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old, new</w:t>
            </w:r>
          </w:p>
        </w:tc>
        <w:tc>
          <w:tcPr>
            <w:tcW w:type="dxa" w:w="554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Performs an ordinal, case-sensitive literal replacement.</w:t>
            </w:r>
          </w:p>
        </w:tc>
      </w:tr>
      <w:tr>
        <w:trPr>
          <w:cantSplit/>
        </w:trPr>
        <w:tc>
          <w:tcPr>
            <w:tcW w:type="dxa" w:w="1500"/>
            <w:vAlign w:val="center"/>
            <w:tcMar>
              <w:top w:w="90" w:type="dxa"/>
              <w:start w:w="100" w:type="dxa"/>
              <w:bottom w:w="90" w:type="dxa"/>
              <w:end w:w="100" w:type="dxa"/>
            </w:tcMar>
            <w:shd w:fill="FFFFFF"/>
          </w:tcPr>
          <w:p>
            <w:pPr>
              <w:spacing w:before="0" w:after="0" w:line="240" w:lineRule="auto"/>
              <w:jc w:val="left"/>
            </w:pPr>
            <w:r>
              <w:rPr>
                <w:rFonts w:ascii="Calibri" w:hAnsi="Calibri"/>
                <w:b w:val="0"/>
                <w:color w:val="1F1F1F"/>
                <w:sz w:val="16"/>
              </w:rPr>
              <w:t>Default</w:t>
            </w:r>
          </w:p>
        </w:tc>
        <w:tc>
          <w:tcPr>
            <w:tcW w:type="dxa" w:w="160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value</w:t>
            </w:r>
          </w:p>
        </w:tc>
        <w:tc>
          <w:tcPr>
            <w:tcW w:type="dxa" w:w="554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Uses the supplied value when the current value is null or empty.</w:t>
            </w:r>
          </w:p>
        </w:tc>
      </w:tr>
      <w:tr>
        <w:trPr>
          <w:cantSplit/>
        </w:trPr>
        <w:tc>
          <w:tcPr>
            <w:tcW w:type="dxa" w:w="1500"/>
            <w:vAlign w:val="center"/>
            <w:tcMar>
              <w:top w:w="90" w:type="dxa"/>
              <w:start w:w="100" w:type="dxa"/>
              <w:bottom w:w="90" w:type="dxa"/>
              <w:end w:w="100" w:type="dxa"/>
            </w:tcMar>
            <w:shd w:fill="F7FAFC"/>
          </w:tcPr>
          <w:p>
            <w:pPr>
              <w:spacing w:before="0" w:after="0" w:line="240" w:lineRule="auto"/>
              <w:jc w:val="left"/>
            </w:pPr>
            <w:r>
              <w:rPr>
                <w:rFonts w:ascii="Calibri" w:hAnsi="Calibri"/>
                <w:b w:val="0"/>
                <w:color w:val="1F1F1F"/>
                <w:sz w:val="16"/>
              </w:rPr>
              <w:t>DateFormat</w:t>
            </w:r>
          </w:p>
        </w:tc>
        <w:tc>
          <w:tcPr>
            <w:tcW w:type="dxa" w:w="160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format</w:t>
            </w:r>
          </w:p>
        </w:tc>
        <w:tc>
          <w:tcPr>
            <w:tcW w:type="dxa" w:w="554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Parses an invariant-culture date and emits the requested format.</w:t>
            </w:r>
          </w:p>
        </w:tc>
      </w:tr>
      <w:tr>
        <w:trPr>
          <w:cantSplit/>
        </w:trPr>
        <w:tc>
          <w:tcPr>
            <w:tcW w:type="dxa" w:w="1500"/>
            <w:vAlign w:val="center"/>
            <w:tcMar>
              <w:top w:w="90" w:type="dxa"/>
              <w:start w:w="100" w:type="dxa"/>
              <w:bottom w:w="90" w:type="dxa"/>
              <w:end w:w="100" w:type="dxa"/>
            </w:tcMar>
            <w:shd w:fill="FFFFFF"/>
          </w:tcPr>
          <w:p>
            <w:pPr>
              <w:spacing w:before="0" w:after="0" w:line="240" w:lineRule="auto"/>
              <w:jc w:val="left"/>
            </w:pPr>
            <w:r>
              <w:rPr>
                <w:rFonts w:ascii="Calibri" w:hAnsi="Calibri"/>
                <w:b w:val="0"/>
                <w:color w:val="1F1F1F"/>
                <w:sz w:val="16"/>
              </w:rPr>
              <w:t>Numeric</w:t>
            </w:r>
          </w:p>
        </w:tc>
        <w:tc>
          <w:tcPr>
            <w:tcW w:type="dxa" w:w="160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None</w:t>
            </w:r>
          </w:p>
        </w:tc>
        <w:tc>
          <w:tcPr>
            <w:tcW w:type="dxa" w:w="554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Parses decimal input and emits an invariant-culture numeric string.</w:t>
            </w:r>
          </w:p>
        </w:tc>
      </w:tr>
      <w:tr>
        <w:trPr>
          <w:cantSplit/>
        </w:trPr>
        <w:tc>
          <w:tcPr>
            <w:tcW w:type="dxa" w:w="1500"/>
            <w:vAlign w:val="center"/>
            <w:tcMar>
              <w:top w:w="90" w:type="dxa"/>
              <w:start w:w="100" w:type="dxa"/>
              <w:bottom w:w="90" w:type="dxa"/>
              <w:end w:w="100" w:type="dxa"/>
            </w:tcMar>
            <w:shd w:fill="F7FAFC"/>
          </w:tcPr>
          <w:p>
            <w:pPr>
              <w:spacing w:before="0" w:after="0" w:line="240" w:lineRule="auto"/>
              <w:jc w:val="left"/>
            </w:pPr>
            <w:r>
              <w:rPr>
                <w:rFonts w:ascii="Calibri" w:hAnsi="Calibri"/>
                <w:b w:val="0"/>
                <w:color w:val="1F1F1F"/>
                <w:sz w:val="16"/>
              </w:rPr>
              <w:t>StringLength</w:t>
            </w:r>
          </w:p>
        </w:tc>
        <w:tc>
          <w:tcPr>
            <w:tcW w:type="dxa" w:w="160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max</w:t>
            </w:r>
          </w:p>
        </w:tc>
        <w:tc>
          <w:tcPr>
            <w:tcW w:type="dxa" w:w="554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Truncates text when its length exceeds max.</w:t>
            </w:r>
          </w:p>
        </w:tc>
      </w:tr>
      <w:tr>
        <w:trPr>
          <w:cantSplit/>
        </w:trPr>
        <w:tc>
          <w:tcPr>
            <w:tcW w:type="dxa" w:w="1500"/>
            <w:vAlign w:val="center"/>
            <w:tcMar>
              <w:top w:w="90" w:type="dxa"/>
              <w:start w:w="100" w:type="dxa"/>
              <w:bottom w:w="90" w:type="dxa"/>
              <w:end w:w="100" w:type="dxa"/>
            </w:tcMar>
            <w:shd w:fill="FFFFFF"/>
          </w:tcPr>
          <w:p>
            <w:pPr>
              <w:spacing w:before="0" w:after="0" w:line="240" w:lineRule="auto"/>
              <w:jc w:val="left"/>
            </w:pPr>
            <w:r>
              <w:rPr>
                <w:rFonts w:ascii="Calibri" w:hAnsi="Calibri"/>
                <w:b w:val="0"/>
                <w:color w:val="1F1F1F"/>
                <w:sz w:val="16"/>
              </w:rPr>
              <w:t>Derived</w:t>
            </w:r>
          </w:p>
        </w:tc>
        <w:tc>
          <w:tcPr>
            <w:tcW w:type="dxa" w:w="160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template</w:t>
            </w:r>
          </w:p>
        </w:tc>
        <w:tc>
          <w:tcPr>
            <w:tcW w:type="dxa" w:w="554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Expands {ColumnName} placeholders from the staged source row.</w:t>
            </w:r>
          </w:p>
        </w:tc>
      </w:tr>
    </w:tbl>
    <w:p>
      <w:pPr>
        <w:pStyle w:val="164"/>
        <w:spacing w:after="40"/>
      </w:pPr>
    </w:p>
    <w:p>
      <w:pPr>
        <w:pStyle w:val="4"/>
      </w:pPr>
      <w:r>
        <w:t>5.2 Supported Validation Rules</w:t>
      </w:r>
    </w:p>
    <w:tbl>
      <w:tblPr>
        <w:tblW w:type="dxa" w:w="8640"/>
        <w:jc w:val="left"/>
        <w:tblLayout w:type="fixed"/>
        <w:tblLook w:firstColumn="1" w:firstRow="1" w:lastColumn="0" w:lastRow="0" w:noHBand="0" w:noVBand="1" w:val="04A0"/>
        <w:tblInd w:w="0" w:type="dxa"/>
      </w:tblPr>
      <w:tblGrid>
        <w:gridCol w:w="1550"/>
        <w:gridCol w:w="1800"/>
        <w:gridCol w:w="5290"/>
      </w:tblGrid>
      <w:tr>
        <w:trPr>
          <w:cantSplit/>
          <w:tblHeader w:val="true"/>
        </w:trPr>
        <w:tc>
          <w:tcPr>
            <w:tcW w:type="dxa" w:w="1550"/>
            <w:vAlign w:val="center"/>
            <w:tcMar>
              <w:top w:w="90" w:type="dxa"/>
              <w:start w:w="100" w:type="dxa"/>
              <w:bottom w:w="90" w:type="dxa"/>
              <w:end w:w="100" w:type="dxa"/>
            </w:tcMar>
            <w:shd w:fill="1F4E78"/>
          </w:tcPr>
          <w:p>
            <w:pPr>
              <w:keepNext/>
              <w:spacing w:before="0" w:after="0" w:line="240" w:lineRule="auto"/>
              <w:jc w:val="left"/>
            </w:pPr>
            <w:r>
              <w:rPr>
                <w:rFonts w:ascii="Calibri" w:hAnsi="Calibri"/>
                <w:b/>
                <w:color w:val="FFFFFF"/>
                <w:sz w:val="16"/>
              </w:rPr>
              <w:t>Type</w:t>
            </w:r>
          </w:p>
        </w:tc>
        <w:tc>
          <w:tcPr>
            <w:tcW w:type="dxa" w:w="1800"/>
            <w:vAlign w:val="center"/>
            <w:tcMar>
              <w:top w:w="90" w:type="dxa"/>
              <w:start w:w="100" w:type="dxa"/>
              <w:bottom w:w="90" w:type="dxa"/>
              <w:end w:w="100" w:type="dxa"/>
            </w:tcMar>
            <w:shd w:fill="1F4E78"/>
          </w:tcPr>
          <w:p>
            <w:pPr>
              <w:keepNext/>
              <w:spacing w:before="0" w:after="0" w:line="240" w:lineRule="auto"/>
            </w:pPr>
            <w:r>
              <w:rPr>
                <w:rFonts w:ascii="Calibri" w:hAnsi="Calibri"/>
                <w:b/>
                <w:color w:val="FFFFFF"/>
                <w:sz w:val="16"/>
              </w:rPr>
              <w:t>Parameters</w:t>
            </w:r>
          </w:p>
        </w:tc>
        <w:tc>
          <w:tcPr>
            <w:tcW w:type="dxa" w:w="5290"/>
            <w:vAlign w:val="center"/>
            <w:tcMar>
              <w:top w:w="90" w:type="dxa"/>
              <w:start w:w="100" w:type="dxa"/>
              <w:bottom w:w="90" w:type="dxa"/>
              <w:end w:w="100" w:type="dxa"/>
            </w:tcMar>
            <w:shd w:fill="1F4E78"/>
          </w:tcPr>
          <w:p>
            <w:pPr>
              <w:keepNext/>
              <w:spacing w:before="0" w:after="0" w:line="240" w:lineRule="auto"/>
            </w:pPr>
            <w:r>
              <w:rPr>
                <w:rFonts w:ascii="Calibri" w:hAnsi="Calibri"/>
                <w:b/>
                <w:color w:val="FFFFFF"/>
                <w:sz w:val="16"/>
              </w:rPr>
              <w:t>Behavior</w:t>
            </w:r>
          </w:p>
        </w:tc>
      </w:tr>
      <w:tr>
        <w:trPr>
          <w:cantSplit/>
        </w:trPr>
        <w:tc>
          <w:tcPr>
            <w:tcW w:type="dxa" w:w="1550"/>
            <w:vAlign w:val="center"/>
            <w:tcMar>
              <w:top w:w="90" w:type="dxa"/>
              <w:start w:w="100" w:type="dxa"/>
              <w:bottom w:w="90" w:type="dxa"/>
              <w:end w:w="100" w:type="dxa"/>
            </w:tcMar>
            <w:shd w:fill="FFFFFF"/>
          </w:tcPr>
          <w:p>
            <w:pPr>
              <w:spacing w:before="0" w:after="0" w:line="240" w:lineRule="auto"/>
              <w:jc w:val="left"/>
            </w:pPr>
            <w:r>
              <w:rPr>
                <w:rFonts w:ascii="Calibri" w:hAnsi="Calibri"/>
                <w:b w:val="0"/>
                <w:color w:val="1F1F1F"/>
                <w:sz w:val="16"/>
              </w:rPr>
              <w:t>Required</w:t>
            </w:r>
          </w:p>
        </w:tc>
        <w:tc>
          <w:tcPr>
            <w:tcW w:type="dxa" w:w="180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None</w:t>
            </w:r>
          </w:p>
        </w:tc>
        <w:tc>
          <w:tcPr>
            <w:tcW w:type="dxa" w:w="529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Fails null, empty or whitespace-only values.</w:t>
            </w:r>
          </w:p>
        </w:tc>
      </w:tr>
      <w:tr>
        <w:trPr>
          <w:cantSplit/>
        </w:trPr>
        <w:tc>
          <w:tcPr>
            <w:tcW w:type="dxa" w:w="1550"/>
            <w:vAlign w:val="center"/>
            <w:tcMar>
              <w:top w:w="90" w:type="dxa"/>
              <w:start w:w="100" w:type="dxa"/>
              <w:bottom w:w="90" w:type="dxa"/>
              <w:end w:w="100" w:type="dxa"/>
            </w:tcMar>
            <w:shd w:fill="F7FAFC"/>
          </w:tcPr>
          <w:p>
            <w:pPr>
              <w:spacing w:before="0" w:after="0" w:line="240" w:lineRule="auto"/>
              <w:jc w:val="left"/>
            </w:pPr>
            <w:r>
              <w:rPr>
                <w:rFonts w:ascii="Calibri" w:hAnsi="Calibri"/>
                <w:b w:val="0"/>
                <w:color w:val="1F1F1F"/>
                <w:sz w:val="16"/>
              </w:rPr>
              <w:t>DataType</w:t>
            </w:r>
          </w:p>
        </w:tc>
        <w:tc>
          <w:tcPr>
            <w:tcW w:type="dxa" w:w="180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None</w:t>
            </w:r>
          </w:p>
        </w:tc>
        <w:tc>
          <w:tcPr>
            <w:tcW w:type="dxa" w:w="529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Checks Integer, Decimal/Number, Date/DateTime and Boolean targets; other target types accept text.</w:t>
            </w:r>
          </w:p>
        </w:tc>
      </w:tr>
      <w:tr>
        <w:trPr>
          <w:cantSplit/>
        </w:trPr>
        <w:tc>
          <w:tcPr>
            <w:tcW w:type="dxa" w:w="1550"/>
            <w:vAlign w:val="center"/>
            <w:tcMar>
              <w:top w:w="90" w:type="dxa"/>
              <w:start w:w="100" w:type="dxa"/>
              <w:bottom w:w="90" w:type="dxa"/>
              <w:end w:w="100" w:type="dxa"/>
            </w:tcMar>
            <w:shd w:fill="FFFFFF"/>
          </w:tcPr>
          <w:p>
            <w:pPr>
              <w:spacing w:before="0" w:after="0" w:line="240" w:lineRule="auto"/>
              <w:jc w:val="left"/>
            </w:pPr>
            <w:r>
              <w:rPr>
                <w:rFonts w:ascii="Calibri" w:hAnsi="Calibri"/>
                <w:b w:val="0"/>
                <w:color w:val="1F1F1F"/>
                <w:sz w:val="16"/>
              </w:rPr>
              <w:t>MaximumLength</w:t>
            </w:r>
          </w:p>
        </w:tc>
        <w:tc>
          <w:tcPr>
            <w:tcW w:type="dxa" w:w="180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value</w:t>
            </w:r>
          </w:p>
        </w:tc>
        <w:tc>
          <w:tcPr>
            <w:tcW w:type="dxa" w:w="529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Fails when text length is greater than the configured value.</w:t>
            </w:r>
          </w:p>
        </w:tc>
      </w:tr>
      <w:tr>
        <w:trPr>
          <w:cantSplit/>
        </w:trPr>
        <w:tc>
          <w:tcPr>
            <w:tcW w:type="dxa" w:w="1550"/>
            <w:vAlign w:val="center"/>
            <w:tcMar>
              <w:top w:w="90" w:type="dxa"/>
              <w:start w:w="100" w:type="dxa"/>
              <w:bottom w:w="90" w:type="dxa"/>
              <w:end w:w="100" w:type="dxa"/>
            </w:tcMar>
            <w:shd w:fill="F7FAFC"/>
          </w:tcPr>
          <w:p>
            <w:pPr>
              <w:spacing w:before="0" w:after="0" w:line="240" w:lineRule="auto"/>
              <w:jc w:val="left"/>
            </w:pPr>
            <w:r>
              <w:rPr>
                <w:rFonts w:ascii="Calibri" w:hAnsi="Calibri"/>
                <w:b w:val="0"/>
                <w:color w:val="1F1F1F"/>
                <w:sz w:val="16"/>
              </w:rPr>
              <w:t>MinimumLength</w:t>
            </w:r>
          </w:p>
        </w:tc>
        <w:tc>
          <w:tcPr>
            <w:tcW w:type="dxa" w:w="180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value</w:t>
            </w:r>
          </w:p>
        </w:tc>
        <w:tc>
          <w:tcPr>
            <w:tcW w:type="dxa" w:w="529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Fails non-null text shorter than the configured value.</w:t>
            </w:r>
          </w:p>
        </w:tc>
      </w:tr>
      <w:tr>
        <w:trPr>
          <w:cantSplit/>
        </w:trPr>
        <w:tc>
          <w:tcPr>
            <w:tcW w:type="dxa" w:w="1550"/>
            <w:vAlign w:val="center"/>
            <w:tcMar>
              <w:top w:w="90" w:type="dxa"/>
              <w:start w:w="100" w:type="dxa"/>
              <w:bottom w:w="90" w:type="dxa"/>
              <w:end w:w="100" w:type="dxa"/>
            </w:tcMar>
            <w:shd w:fill="FFFFFF"/>
          </w:tcPr>
          <w:p>
            <w:pPr>
              <w:spacing w:before="0" w:after="0" w:line="240" w:lineRule="auto"/>
              <w:jc w:val="left"/>
            </w:pPr>
            <w:r>
              <w:rPr>
                <w:rFonts w:ascii="Calibri" w:hAnsi="Calibri"/>
                <w:b w:val="0"/>
                <w:color w:val="1F1F1F"/>
                <w:sz w:val="16"/>
              </w:rPr>
              <w:t>NumericRange</w:t>
            </w:r>
          </w:p>
        </w:tc>
        <w:tc>
          <w:tcPr>
            <w:tcW w:type="dxa" w:w="180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min, max</w:t>
            </w:r>
          </w:p>
        </w:tc>
        <w:tc>
          <w:tcPr>
            <w:tcW w:type="dxa" w:w="529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Fails a parseable number outside the inclusive configured range.</w:t>
            </w:r>
          </w:p>
        </w:tc>
      </w:tr>
      <w:tr>
        <w:trPr>
          <w:cantSplit/>
        </w:trPr>
        <w:tc>
          <w:tcPr>
            <w:tcW w:type="dxa" w:w="1550"/>
            <w:vAlign w:val="center"/>
            <w:tcMar>
              <w:top w:w="90" w:type="dxa"/>
              <w:start w:w="100" w:type="dxa"/>
              <w:bottom w:w="90" w:type="dxa"/>
              <w:end w:w="100" w:type="dxa"/>
            </w:tcMar>
            <w:shd w:fill="F7FAFC"/>
          </w:tcPr>
          <w:p>
            <w:pPr>
              <w:spacing w:before="0" w:after="0" w:line="240" w:lineRule="auto"/>
              <w:jc w:val="left"/>
            </w:pPr>
            <w:r>
              <w:rPr>
                <w:rFonts w:ascii="Calibri" w:hAnsi="Calibri"/>
                <w:b w:val="0"/>
                <w:color w:val="1F1F1F"/>
                <w:sz w:val="16"/>
              </w:rPr>
              <w:t>DateRange</w:t>
            </w:r>
          </w:p>
        </w:tc>
        <w:tc>
          <w:tcPr>
            <w:tcW w:type="dxa" w:w="180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min, max</w:t>
            </w:r>
          </w:p>
        </w:tc>
        <w:tc>
          <w:tcPr>
            <w:tcW w:type="dxa" w:w="529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Fails a parseable date outside the inclusive configured range.</w:t>
            </w:r>
          </w:p>
        </w:tc>
      </w:tr>
      <w:tr>
        <w:trPr>
          <w:cantSplit/>
        </w:trPr>
        <w:tc>
          <w:tcPr>
            <w:tcW w:type="dxa" w:w="1550"/>
            <w:vAlign w:val="center"/>
            <w:tcMar>
              <w:top w:w="90" w:type="dxa"/>
              <w:start w:w="100" w:type="dxa"/>
              <w:bottom w:w="90" w:type="dxa"/>
              <w:end w:w="100" w:type="dxa"/>
            </w:tcMar>
            <w:shd w:fill="FFFFFF"/>
          </w:tcPr>
          <w:p>
            <w:pPr>
              <w:spacing w:before="0" w:after="0" w:line="240" w:lineRule="auto"/>
              <w:jc w:val="left"/>
            </w:pPr>
            <w:r>
              <w:rPr>
                <w:rFonts w:ascii="Calibri" w:hAnsi="Calibri"/>
                <w:b w:val="0"/>
                <w:color w:val="1F1F1F"/>
                <w:sz w:val="16"/>
              </w:rPr>
              <w:t>AllowedValues</w:t>
            </w:r>
          </w:p>
        </w:tc>
        <w:tc>
          <w:tcPr>
            <w:tcW w:type="dxa" w:w="180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values</w:t>
            </w:r>
          </w:p>
        </w:tc>
        <w:tc>
          <w:tcPr>
            <w:tcW w:type="dxa" w:w="529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Case-insensitive membership in a pipe-delimited value list.</w:t>
            </w:r>
          </w:p>
        </w:tc>
      </w:tr>
      <w:tr>
        <w:trPr>
          <w:cantSplit/>
        </w:trPr>
        <w:tc>
          <w:tcPr>
            <w:tcW w:type="dxa" w:w="1550"/>
            <w:vAlign w:val="center"/>
            <w:tcMar>
              <w:top w:w="90" w:type="dxa"/>
              <w:start w:w="100" w:type="dxa"/>
              <w:bottom w:w="90" w:type="dxa"/>
              <w:end w:w="100" w:type="dxa"/>
            </w:tcMar>
            <w:shd w:fill="F7FAFC"/>
          </w:tcPr>
          <w:p>
            <w:pPr>
              <w:spacing w:before="0" w:after="0" w:line="240" w:lineRule="auto"/>
              <w:jc w:val="left"/>
            </w:pPr>
            <w:r>
              <w:rPr>
                <w:rFonts w:ascii="Calibri" w:hAnsi="Calibri"/>
                <w:b w:val="0"/>
                <w:color w:val="1F1F1F"/>
                <w:sz w:val="16"/>
              </w:rPr>
              <w:t>Pattern</w:t>
            </w:r>
          </w:p>
        </w:tc>
        <w:tc>
          <w:tcPr>
            <w:tcW w:type="dxa" w:w="180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pattern</w:t>
            </w:r>
          </w:p>
        </w:tc>
        <w:tc>
          <w:tcPr>
            <w:tcW w:type="dxa" w:w="529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Applies a culture-invariant regular expression with a one-second timeout.</w:t>
            </w:r>
          </w:p>
        </w:tc>
      </w:tr>
      <w:tr>
        <w:trPr>
          <w:cantSplit/>
        </w:trPr>
        <w:tc>
          <w:tcPr>
            <w:tcW w:type="dxa" w:w="1550"/>
            <w:vAlign w:val="center"/>
            <w:tcMar>
              <w:top w:w="90" w:type="dxa"/>
              <w:start w:w="100" w:type="dxa"/>
              <w:bottom w:w="90" w:type="dxa"/>
              <w:end w:w="100" w:type="dxa"/>
            </w:tcMar>
            <w:shd w:fill="FFFFFF"/>
          </w:tcPr>
          <w:p>
            <w:pPr>
              <w:spacing w:before="0" w:after="0" w:line="240" w:lineRule="auto"/>
              <w:jc w:val="left"/>
            </w:pPr>
            <w:r>
              <w:rPr>
                <w:rFonts w:ascii="Calibri" w:hAnsi="Calibri"/>
                <w:b w:val="0"/>
                <w:color w:val="1F1F1F"/>
                <w:sz w:val="16"/>
              </w:rPr>
              <w:t>Duplicate</w:t>
            </w:r>
          </w:p>
        </w:tc>
        <w:tc>
          <w:tcPr>
            <w:tcW w:type="dxa" w:w="180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Task 17 key columns</w:t>
            </w:r>
          </w:p>
        </w:tc>
        <w:tc>
          <w:tcPr>
            <w:tcW w:type="dxa" w:w="529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Delegates duplicate evaluation to the KeyHash pipeline.</w:t>
            </w:r>
          </w:p>
        </w:tc>
      </w:tr>
    </w:tbl>
    <w:p>
      <w:pPr>
        <w:pStyle w:val="164"/>
        <w:spacing w:after="40"/>
      </w:pPr>
    </w:p>
    <w:p>
      <w:pPr>
        <w:pStyle w:val="3"/>
      </w:pPr>
      <w:r>
        <w:t>6. REST API Specification</w:t>
      </w:r>
    </w:p>
    <w:p>
      <w:pPr>
        <w:pStyle w:val="164"/>
        <w:keepNext w:val="0"/>
      </w:pPr>
      <w:r>
        <w:t>All routes require JWT authentication. Dataset and import entities remain restricted by workspace query filters.</w:t>
      </w:r>
    </w:p>
    <w:tbl>
      <w:tblPr>
        <w:tblW w:type="dxa" w:w="8640"/>
        <w:jc w:val="left"/>
        <w:tblLayout w:type="fixed"/>
        <w:tblLook w:firstColumn="1" w:firstRow="1" w:lastColumn="0" w:lastRow="0" w:noHBand="0" w:noVBand="1" w:val="04A0"/>
        <w:tblInd w:w="0" w:type="dxa"/>
      </w:tblPr>
      <w:tblGrid>
        <w:gridCol w:w="760"/>
        <w:gridCol w:w="3340"/>
        <w:gridCol w:w="1650"/>
        <w:gridCol w:w="2890"/>
      </w:tblGrid>
      <w:tr>
        <w:trPr>
          <w:cantSplit/>
          <w:tblHeader w:val="true"/>
        </w:trPr>
        <w:tc>
          <w:tcPr>
            <w:tcW w:type="dxa" w:w="760"/>
            <w:vAlign w:val="center"/>
            <w:tcMar>
              <w:top w:w="90" w:type="dxa"/>
              <w:start w:w="100" w:type="dxa"/>
              <w:bottom w:w="90" w:type="dxa"/>
              <w:end w:w="100" w:type="dxa"/>
            </w:tcMar>
            <w:shd w:fill="1F4E78"/>
          </w:tcPr>
          <w:p>
            <w:pPr>
              <w:keepNext/>
              <w:spacing w:before="0" w:after="0" w:line="240" w:lineRule="auto"/>
              <w:jc w:val="left"/>
            </w:pPr>
            <w:r>
              <w:rPr>
                <w:rFonts w:ascii="Calibri" w:hAnsi="Calibri"/>
                <w:b/>
                <w:color w:val="FFFFFF"/>
                <w:sz w:val="16"/>
              </w:rPr>
              <w:t>Method</w:t>
            </w:r>
          </w:p>
        </w:tc>
        <w:tc>
          <w:tcPr>
            <w:tcW w:type="dxa" w:w="3340"/>
            <w:vAlign w:val="center"/>
            <w:tcMar>
              <w:top w:w="90" w:type="dxa"/>
              <w:start w:w="100" w:type="dxa"/>
              <w:bottom w:w="90" w:type="dxa"/>
              <w:end w:w="100" w:type="dxa"/>
            </w:tcMar>
            <w:shd w:fill="1F4E78"/>
          </w:tcPr>
          <w:p>
            <w:pPr>
              <w:keepNext/>
              <w:spacing w:before="0" w:after="0" w:line="240" w:lineRule="auto"/>
            </w:pPr>
            <w:r>
              <w:rPr>
                <w:rFonts w:ascii="Calibri" w:hAnsi="Calibri"/>
                <w:b/>
                <w:color w:val="FFFFFF"/>
                <w:sz w:val="16"/>
              </w:rPr>
              <w:t>Route</w:t>
            </w:r>
          </w:p>
        </w:tc>
        <w:tc>
          <w:tcPr>
            <w:tcW w:type="dxa" w:w="1650"/>
            <w:vAlign w:val="center"/>
            <w:tcMar>
              <w:top w:w="90" w:type="dxa"/>
              <w:start w:w="100" w:type="dxa"/>
              <w:bottom w:w="90" w:type="dxa"/>
              <w:end w:w="100" w:type="dxa"/>
            </w:tcMar>
            <w:shd w:fill="1F4E78"/>
          </w:tcPr>
          <w:p>
            <w:pPr>
              <w:keepNext/>
              <w:spacing w:before="0" w:after="0" w:line="240" w:lineRule="auto"/>
            </w:pPr>
            <w:r>
              <w:rPr>
                <w:rFonts w:ascii="Calibri" w:hAnsi="Calibri"/>
                <w:b/>
                <w:color w:val="FFFFFF"/>
                <w:sz w:val="16"/>
              </w:rPr>
              <w:t>Permission</w:t>
            </w:r>
          </w:p>
        </w:tc>
        <w:tc>
          <w:tcPr>
            <w:tcW w:type="dxa" w:w="2890"/>
            <w:vAlign w:val="center"/>
            <w:tcMar>
              <w:top w:w="90" w:type="dxa"/>
              <w:start w:w="100" w:type="dxa"/>
              <w:bottom w:w="90" w:type="dxa"/>
              <w:end w:w="100" w:type="dxa"/>
            </w:tcMar>
            <w:shd w:fill="1F4E78"/>
          </w:tcPr>
          <w:p>
            <w:pPr>
              <w:keepNext/>
              <w:spacing w:before="0" w:after="0" w:line="240" w:lineRule="auto"/>
            </w:pPr>
            <w:r>
              <w:rPr>
                <w:rFonts w:ascii="Calibri" w:hAnsi="Calibri"/>
                <w:b/>
                <w:color w:val="FFFFFF"/>
                <w:sz w:val="16"/>
              </w:rPr>
              <w:t>Purpose</w:t>
            </w:r>
          </w:p>
        </w:tc>
      </w:tr>
      <w:tr>
        <w:trPr>
          <w:cantSplit/>
        </w:trPr>
        <w:tc>
          <w:tcPr>
            <w:tcW w:type="dxa" w:w="760"/>
            <w:vAlign w:val="center"/>
            <w:tcMar>
              <w:top w:w="90" w:type="dxa"/>
              <w:start w:w="100" w:type="dxa"/>
              <w:bottom w:w="90" w:type="dxa"/>
              <w:end w:w="100" w:type="dxa"/>
            </w:tcMar>
            <w:shd w:fill="FFFFFF"/>
          </w:tcPr>
          <w:p>
            <w:pPr>
              <w:spacing w:before="0" w:after="0" w:line="240" w:lineRule="auto"/>
              <w:jc w:val="left"/>
            </w:pPr>
            <w:r>
              <w:rPr>
                <w:rFonts w:ascii="Calibri" w:hAnsi="Calibri"/>
                <w:b w:val="0"/>
                <w:color w:val="1F1F1F"/>
                <w:sz w:val="16"/>
              </w:rPr>
              <w:t>POST</w:t>
            </w:r>
          </w:p>
        </w:tc>
        <w:tc>
          <w:tcPr>
            <w:tcW w:type="dxa" w:w="334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/api/datasets/{datasetId}/transformation-configurations</w:t>
            </w:r>
          </w:p>
        </w:tc>
        <w:tc>
          <w:tcPr>
            <w:tcW w:type="dxa" w:w="165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datasets.update</w:t>
            </w:r>
          </w:p>
        </w:tc>
        <w:tc>
          <w:tcPr>
            <w:tcW w:type="dxa" w:w="289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Create the next immutable version and make it active.</w:t>
            </w:r>
          </w:p>
        </w:tc>
      </w:tr>
      <w:tr>
        <w:trPr>
          <w:cantSplit/>
        </w:trPr>
        <w:tc>
          <w:tcPr>
            <w:tcW w:type="dxa" w:w="760"/>
            <w:vAlign w:val="center"/>
            <w:tcMar>
              <w:top w:w="90" w:type="dxa"/>
              <w:start w:w="100" w:type="dxa"/>
              <w:bottom w:w="90" w:type="dxa"/>
              <w:end w:w="100" w:type="dxa"/>
            </w:tcMar>
            <w:shd w:fill="F7FAFC"/>
          </w:tcPr>
          <w:p>
            <w:pPr>
              <w:spacing w:before="0" w:after="0" w:line="240" w:lineRule="auto"/>
              <w:jc w:val="left"/>
            </w:pPr>
            <w:r>
              <w:rPr>
                <w:rFonts w:ascii="Calibri" w:hAnsi="Calibri"/>
                <w:b w:val="0"/>
                <w:color w:val="1F1F1F"/>
                <w:sz w:val="16"/>
              </w:rPr>
              <w:t>GET</w:t>
            </w:r>
          </w:p>
        </w:tc>
        <w:tc>
          <w:tcPr>
            <w:tcW w:type="dxa" w:w="334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/api/datasets/{datasetId}/transformation-configurations/active</w:t>
            </w:r>
          </w:p>
        </w:tc>
        <w:tc>
          <w:tcPr>
            <w:tcW w:type="dxa" w:w="165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datasets.view</w:t>
            </w:r>
          </w:p>
        </w:tc>
        <w:tc>
          <w:tcPr>
            <w:tcW w:type="dxa" w:w="289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Return the single active configuration.</w:t>
            </w:r>
          </w:p>
        </w:tc>
      </w:tr>
      <w:tr>
        <w:trPr>
          <w:cantSplit/>
        </w:trPr>
        <w:tc>
          <w:tcPr>
            <w:tcW w:type="dxa" w:w="760"/>
            <w:vAlign w:val="center"/>
            <w:tcMar>
              <w:top w:w="90" w:type="dxa"/>
              <w:start w:w="100" w:type="dxa"/>
              <w:bottom w:w="90" w:type="dxa"/>
              <w:end w:w="100" w:type="dxa"/>
            </w:tcMar>
            <w:shd w:fill="FFFFFF"/>
          </w:tcPr>
          <w:p>
            <w:pPr>
              <w:spacing w:before="0" w:after="0" w:line="240" w:lineRule="auto"/>
              <w:jc w:val="left"/>
            </w:pPr>
            <w:r>
              <w:rPr>
                <w:rFonts w:ascii="Calibri" w:hAnsi="Calibri"/>
                <w:b w:val="0"/>
                <w:color w:val="1F1F1F"/>
                <w:sz w:val="16"/>
              </w:rPr>
              <w:t>GET</w:t>
            </w:r>
          </w:p>
        </w:tc>
        <w:tc>
          <w:tcPr>
            <w:tcW w:type="dxa" w:w="334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/api/datasets/{datasetId}/transformation-configurations/history</w:t>
            </w:r>
          </w:p>
        </w:tc>
        <w:tc>
          <w:tcPr>
            <w:tcW w:type="dxa" w:w="165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datasets.view</w:t>
            </w:r>
          </w:p>
        </w:tc>
        <w:tc>
          <w:tcPr>
            <w:tcW w:type="dxa" w:w="289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Return newest-first version history.</w:t>
            </w:r>
          </w:p>
        </w:tc>
      </w:tr>
      <w:tr>
        <w:trPr>
          <w:cantSplit/>
        </w:trPr>
        <w:tc>
          <w:tcPr>
            <w:tcW w:type="dxa" w:w="760"/>
            <w:vAlign w:val="center"/>
            <w:tcMar>
              <w:top w:w="90" w:type="dxa"/>
              <w:start w:w="100" w:type="dxa"/>
              <w:bottom w:w="90" w:type="dxa"/>
              <w:end w:w="100" w:type="dxa"/>
            </w:tcMar>
            <w:shd w:fill="F7FAFC"/>
          </w:tcPr>
          <w:p>
            <w:pPr>
              <w:spacing w:before="0" w:after="0" w:line="240" w:lineRule="auto"/>
              <w:jc w:val="left"/>
            </w:pPr>
            <w:r>
              <w:rPr>
                <w:rFonts w:ascii="Calibri" w:hAnsi="Calibri"/>
                <w:b w:val="0"/>
                <w:color w:val="1F1F1F"/>
                <w:sz w:val="16"/>
              </w:rPr>
              <w:t>DELETE</w:t>
            </w:r>
          </w:p>
        </w:tc>
        <w:tc>
          <w:tcPr>
            <w:tcW w:type="dxa" w:w="334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/api/datasets/{datasetId}/transformation-configurations/{configurationId}</w:t>
            </w:r>
          </w:p>
        </w:tc>
        <w:tc>
          <w:tcPr>
            <w:tcW w:type="dxa" w:w="165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datasets.update</w:t>
            </w:r>
          </w:p>
        </w:tc>
        <w:tc>
          <w:tcPr>
            <w:tcW w:type="dxa" w:w="289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Delete an unused version; reject versions referenced by imports.</w:t>
            </w:r>
          </w:p>
        </w:tc>
      </w:tr>
      <w:tr>
        <w:trPr>
          <w:cantSplit/>
        </w:trPr>
        <w:tc>
          <w:tcPr>
            <w:tcW w:type="dxa" w:w="760"/>
            <w:vAlign w:val="center"/>
            <w:tcMar>
              <w:top w:w="90" w:type="dxa"/>
              <w:start w:w="100" w:type="dxa"/>
              <w:bottom w:w="90" w:type="dxa"/>
              <w:end w:w="100" w:type="dxa"/>
            </w:tcMar>
            <w:shd w:fill="FFFFFF"/>
          </w:tcPr>
          <w:p>
            <w:pPr>
              <w:spacing w:before="0" w:after="0" w:line="240" w:lineRule="auto"/>
              <w:jc w:val="left"/>
            </w:pPr>
            <w:r>
              <w:rPr>
                <w:rFonts w:ascii="Calibri" w:hAnsi="Calibri"/>
                <w:b w:val="0"/>
                <w:color w:val="1F1F1F"/>
                <w:sz w:val="16"/>
              </w:rPr>
              <w:t>POST</w:t>
            </w:r>
          </w:p>
        </w:tc>
        <w:tc>
          <w:tcPr>
            <w:tcW w:type="dxa" w:w="334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/api/imports/{importId}/transformation-preview</w:t>
            </w:r>
          </w:p>
        </w:tc>
        <w:tc>
          <w:tcPr>
            <w:tcW w:type="dxa" w:w="165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imports.view</w:t>
            </w:r>
          </w:p>
        </w:tc>
        <w:tc>
          <w:tcPr>
            <w:tcW w:type="dxa" w:w="289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Preview 1-100 staged rows without final writes.</w:t>
            </w:r>
          </w:p>
        </w:tc>
      </w:tr>
    </w:tbl>
    <w:p>
      <w:pPr>
        <w:pStyle w:val="164"/>
        <w:spacing w:after="40"/>
      </w:pPr>
    </w:p>
    <w:p>
      <w:pPr>
        <w:pStyle w:val="4"/>
      </w:pPr>
      <w:r>
        <w:t>Representative Configuration Request</w:t>
      </w:r>
    </w:p>
    <w:p>
      <w:pPr>
        <w:pStyle w:val="165"/>
        <w:keepLines/>
        <w:spacing w:before="40" w:after="100"/>
        <w:shd w:fill="F2F2F2"/>
      </w:pPr>
      <w:r>
        <w:t>{</w:t>
        <w:br/>
        <w:t xml:space="preserve">  "mappings": [{</w:t>
        <w:br/>
        <w:t xml:space="preserve">    "sourceColumn": "Name",</w:t>
        <w:br/>
        <w:t xml:space="preserve">    "targetColumnId": "11111111-2222-3333-4444-555555555555",</w:t>
        <w:br/>
        <w:t xml:space="preserve">    "isRequired": true,</w:t>
        <w:br/>
        <w:t xml:space="preserve">    "defaultValue": "UNKNOWN",</w:t>
        <w:br/>
        <w:t xml:space="preserve">    "transformations": [</w:t>
        <w:br/>
        <w:t xml:space="preserve">      { "type": "Trim", "sequence": 1, "parameters": null },</w:t>
        <w:br/>
        <w:t xml:space="preserve">      { "type": "Uppercase", "sequence": 2, "parameters": null }</w:t>
        <w:br/>
        <w:t xml:space="preserve">    ],</w:t>
        <w:br/>
        <w:t xml:space="preserve">    "validations": [{</w:t>
        <w:br/>
        <w:t xml:space="preserve">      "type": "MaximumLength", "sequence": 1,</w:t>
        <w:br/>
        <w:t xml:space="preserve">      "message": "Name cannot exceed 100 characters",</w:t>
        <w:br/>
        <w:t xml:space="preserve">      "parameters": { "value": "100" }</w:t>
        <w:br/>
        <w:t xml:space="preserve">    }]</w:t>
        <w:br/>
        <w:t xml:space="preserve">  }]</w:t>
        <w:br/>
        <w:t>}</w:t>
      </w:r>
    </w:p>
    <w:p>
      <w:pPr>
        <w:pStyle w:val="4"/>
      </w:pPr>
      <w:r>
        <w:t>Representative Preview Response</w:t>
      </w:r>
    </w:p>
    <w:p>
      <w:pPr>
        <w:pStyle w:val="165"/>
        <w:keepLines/>
        <w:spacing w:before="40" w:after="100"/>
        <w:shd w:fill="F2F2F2"/>
      </w:pPr>
      <w:r>
        <w:t>{</w:t>
        <w:br/>
        <w:t xml:space="preserve">  "importId": "aaaaaaaa-bbbb-cccc-dddd-eeeeeeeeeeee",</w:t>
        <w:br/>
        <w:t xml:space="preserve">  "configurationId": "99999999-8888-7777-6666-555555555555",</w:t>
        <w:br/>
        <w:t xml:space="preserve">  "configurationVersion": 2,</w:t>
        <w:br/>
        <w:t xml:space="preserve">  "rows": [{</w:t>
        <w:br/>
        <w:t xml:space="preserve">    "rowNumber": 2,</w:t>
        <w:br/>
        <w:t xml:space="preserve">    "isValid": true,</w:t>
        <w:br/>
        <w:t xml:space="preserve">    "values": [{</w:t>
        <w:br/>
        <w:t xml:space="preserve">      "sourceColumn": "Name", "targetField": "Name",</w:t>
        <w:br/>
        <w:t xml:space="preserve">      "originalValue": " Initial User ",</w:t>
        <w:br/>
        <w:t xml:space="preserve">      "transformedValue": "INITIAL USER",</w:t>
        <w:br/>
        <w:t xml:space="preserve">      "isValid": true, "errors": []</w:t>
        <w:br/>
        <w:t xml:space="preserve">    }]</w:t>
        <w:br/>
        <w:t xml:space="preserve">  }]</w:t>
        <w:br/>
        <w:t>}</w:t>
      </w:r>
    </w:p>
    <w:p>
      <w:pPr>
        <w:pStyle w:val="164"/>
        <w:keepNext w:val="0"/>
      </w:pPr>
      <w:r>
        <w:t>Preview selects the configuration pinned to the import; when an older import has no pinned configuration, it falls back to the dataset's active configuration. It reads staging rows in RowNumber order, applies the engine and never writes final DatasetRecords.</w:t>
      </w:r>
    </w:p>
    <w:p>
      <w:pPr>
        <w:pStyle w:val="3"/>
      </w:pPr>
      <w:r>
        <w:t>7. Database Design</w:t>
      </w:r>
    </w:p>
    <w:tbl>
      <w:tblPr>
        <w:tblW w:type="dxa" w:w="8640"/>
        <w:jc w:val="left"/>
        <w:tblLayout w:type="fixed"/>
        <w:tblLook w:firstColumn="1" w:firstRow="1" w:lastColumn="0" w:lastRow="0" w:noHBand="0" w:noVBand="1" w:val="04A0"/>
        <w:tblInd w:w="0" w:type="dxa"/>
      </w:tblPr>
      <w:tblGrid>
        <w:gridCol w:w="2500"/>
        <w:gridCol w:w="3650"/>
        <w:gridCol w:w="2490"/>
      </w:tblGrid>
      <w:tr>
        <w:trPr>
          <w:cantSplit/>
          <w:tblHeader w:val="true"/>
        </w:trPr>
        <w:tc>
          <w:tcPr>
            <w:tcW w:type="dxa" w:w="2500"/>
            <w:vAlign w:val="center"/>
            <w:tcMar>
              <w:top w:w="90" w:type="dxa"/>
              <w:start w:w="100" w:type="dxa"/>
              <w:bottom w:w="90" w:type="dxa"/>
              <w:end w:w="100" w:type="dxa"/>
            </w:tcMar>
            <w:shd w:fill="1F4E78"/>
          </w:tcPr>
          <w:p>
            <w:pPr>
              <w:keepNext/>
              <w:spacing w:before="0" w:after="0" w:line="240" w:lineRule="auto"/>
              <w:jc w:val="left"/>
            </w:pPr>
            <w:r>
              <w:rPr>
                <w:rFonts w:ascii="Calibri" w:hAnsi="Calibri"/>
                <w:b/>
                <w:color w:val="FFFFFF"/>
                <w:sz w:val="16"/>
              </w:rPr>
              <w:t>Database change</w:t>
            </w:r>
          </w:p>
        </w:tc>
        <w:tc>
          <w:tcPr>
            <w:tcW w:type="dxa" w:w="3650"/>
            <w:vAlign w:val="center"/>
            <w:tcMar>
              <w:top w:w="90" w:type="dxa"/>
              <w:start w:w="100" w:type="dxa"/>
              <w:bottom w:w="90" w:type="dxa"/>
              <w:end w:w="100" w:type="dxa"/>
            </w:tcMar>
            <w:shd w:fill="1F4E78"/>
          </w:tcPr>
          <w:p>
            <w:pPr>
              <w:keepNext/>
              <w:spacing w:before="0" w:after="0" w:line="240" w:lineRule="auto"/>
            </w:pPr>
            <w:r>
              <w:rPr>
                <w:rFonts w:ascii="Calibri" w:hAnsi="Calibri"/>
                <w:b/>
                <w:color w:val="FFFFFF"/>
                <w:sz w:val="16"/>
              </w:rPr>
              <w:t>Purpose</w:t>
            </w:r>
          </w:p>
        </w:tc>
        <w:tc>
          <w:tcPr>
            <w:tcW w:type="dxa" w:w="2490"/>
            <w:vAlign w:val="center"/>
            <w:tcMar>
              <w:top w:w="90" w:type="dxa"/>
              <w:start w:w="100" w:type="dxa"/>
              <w:bottom w:w="90" w:type="dxa"/>
              <w:end w:w="100" w:type="dxa"/>
            </w:tcMar>
            <w:shd w:fill="1F4E78"/>
          </w:tcPr>
          <w:p>
            <w:pPr>
              <w:keepNext/>
              <w:spacing w:before="0" w:after="0" w:line="240" w:lineRule="auto"/>
            </w:pPr>
            <w:r>
              <w:rPr>
                <w:rFonts w:ascii="Calibri" w:hAnsi="Calibri"/>
                <w:b/>
                <w:color w:val="FFFFFF"/>
                <w:sz w:val="16"/>
              </w:rPr>
              <w:t>Constraint / relationship</w:t>
            </w:r>
          </w:p>
        </w:tc>
      </w:tr>
      <w:tr>
        <w:trPr>
          <w:cantSplit/>
        </w:trPr>
        <w:tc>
          <w:tcPr>
            <w:tcW w:type="dxa" w:w="2500"/>
            <w:vAlign w:val="center"/>
            <w:tcMar>
              <w:top w:w="90" w:type="dxa"/>
              <w:start w:w="100" w:type="dxa"/>
              <w:bottom w:w="90" w:type="dxa"/>
              <w:end w:w="100" w:type="dxa"/>
            </w:tcMar>
            <w:shd w:fill="FFFFFF"/>
          </w:tcPr>
          <w:p>
            <w:pPr>
              <w:spacing w:before="0" w:after="0" w:line="240" w:lineRule="auto"/>
              <w:jc w:val="left"/>
            </w:pPr>
            <w:r>
              <w:rPr>
                <w:rFonts w:ascii="Calibri" w:hAnsi="Calibri"/>
                <w:b w:val="0"/>
                <w:color w:val="1F1F1F"/>
                <w:sz w:val="16"/>
              </w:rPr>
              <w:t>Configuration table</w:t>
            </w:r>
          </w:p>
        </w:tc>
        <w:tc>
          <w:tcPr>
            <w:tcW w:type="dxa" w:w="365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DatasetTransformationConfigurations stores DatasetId, WorkspaceId, Version, IsActive, serialized ConfigurationJson, creator and timestamp.</w:t>
            </w:r>
          </w:p>
        </w:tc>
        <w:tc>
          <w:tcPr>
            <w:tcW w:type="dxa" w:w="249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Unique DatasetId + Version; filtered unique active row; Dataset FK with cascade.</w:t>
            </w:r>
          </w:p>
        </w:tc>
      </w:tr>
      <w:tr>
        <w:trPr>
          <w:cantSplit/>
        </w:trPr>
        <w:tc>
          <w:tcPr>
            <w:tcW w:type="dxa" w:w="2500"/>
            <w:vAlign w:val="center"/>
            <w:tcMar>
              <w:top w:w="90" w:type="dxa"/>
              <w:start w:w="100" w:type="dxa"/>
              <w:bottom w:w="90" w:type="dxa"/>
              <w:end w:w="100" w:type="dxa"/>
            </w:tcMar>
            <w:shd w:fill="F7FAFC"/>
          </w:tcPr>
          <w:p>
            <w:pPr>
              <w:spacing w:before="0" w:after="0" w:line="240" w:lineRule="auto"/>
              <w:jc w:val="left"/>
            </w:pPr>
            <w:r>
              <w:rPr>
                <w:rFonts w:ascii="Calibri" w:hAnsi="Calibri"/>
                <w:b w:val="0"/>
                <w:color w:val="1F1F1F"/>
                <w:sz w:val="16"/>
              </w:rPr>
              <w:t>DataImports configuration ID</w:t>
            </w:r>
          </w:p>
        </w:tc>
        <w:tc>
          <w:tcPr>
            <w:tcW w:type="dxa" w:w="365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TransformationConfigurationId pins an import to the configuration row selected at creation.</w:t>
            </w:r>
          </w:p>
        </w:tc>
        <w:tc>
          <w:tcPr>
            <w:tcW w:type="dxa" w:w="249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Nullable FK; delete restricted after use.</w:t>
            </w:r>
          </w:p>
        </w:tc>
      </w:tr>
      <w:tr>
        <w:trPr>
          <w:cantSplit/>
        </w:trPr>
        <w:tc>
          <w:tcPr>
            <w:tcW w:type="dxa" w:w="2500"/>
            <w:vAlign w:val="center"/>
            <w:tcMar>
              <w:top w:w="90" w:type="dxa"/>
              <w:start w:w="100" w:type="dxa"/>
              <w:bottom w:w="90" w:type="dxa"/>
              <w:end w:w="100" w:type="dxa"/>
            </w:tcMar>
            <w:shd w:fill="FFFFFF"/>
          </w:tcPr>
          <w:p>
            <w:pPr>
              <w:spacing w:before="0" w:after="0" w:line="240" w:lineRule="auto"/>
              <w:jc w:val="left"/>
            </w:pPr>
            <w:r>
              <w:rPr>
                <w:rFonts w:ascii="Calibri" w:hAnsi="Calibri"/>
                <w:b w:val="0"/>
                <w:color w:val="1F1F1F"/>
                <w:sz w:val="16"/>
              </w:rPr>
              <w:t>DataImports configuration version</w:t>
            </w:r>
          </w:p>
        </w:tc>
        <w:tc>
          <w:tcPr>
            <w:tcW w:type="dxa" w:w="365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TransformationConfigurationVersion exposes and preserves the captured integer version.</w:t>
            </w:r>
          </w:p>
        </w:tc>
        <w:tc>
          <w:tcPr>
            <w:tcW w:type="dxa" w:w="249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Nullable integer paired with configuration ID.</w:t>
            </w:r>
          </w:p>
        </w:tc>
      </w:tr>
      <w:tr>
        <w:trPr>
          <w:cantSplit/>
        </w:trPr>
        <w:tc>
          <w:tcPr>
            <w:tcW w:type="dxa" w:w="2500"/>
            <w:vAlign w:val="center"/>
            <w:tcMar>
              <w:top w:w="90" w:type="dxa"/>
              <w:start w:w="100" w:type="dxa"/>
              <w:bottom w:w="90" w:type="dxa"/>
              <w:end w:w="100" w:type="dxa"/>
            </w:tcMar>
            <w:shd w:fill="F7FAFC"/>
          </w:tcPr>
          <w:p>
            <w:pPr>
              <w:spacing w:before="0" w:after="0" w:line="240" w:lineRule="auto"/>
              <w:jc w:val="left"/>
            </w:pPr>
            <w:r>
              <w:rPr>
                <w:rFonts w:ascii="Calibri" w:hAnsi="Calibri"/>
                <w:b w:val="0"/>
                <w:color w:val="1F1F1F"/>
                <w:sz w:val="16"/>
              </w:rPr>
              <w:t>ImportErrors validation rule</w:t>
            </w:r>
          </w:p>
        </w:tc>
        <w:tc>
          <w:tcPr>
            <w:tcW w:type="dxa" w:w="365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ValidationRule adds configured-rule context to row/field error projection.</w:t>
            </w:r>
          </w:p>
        </w:tc>
        <w:tc>
          <w:tcPr>
            <w:tcW w:type="dxa" w:w="249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nvarchar(100), nullable.</w:t>
            </w:r>
          </w:p>
        </w:tc>
      </w:tr>
    </w:tbl>
    <w:p>
      <w:pPr>
        <w:pStyle w:val="164"/>
        <w:spacing w:after="40"/>
      </w:pPr>
    </w:p>
    <w:p>
      <w:pPr>
        <w:pStyle w:val="164"/>
        <w:keepNext w:val="0"/>
      </w:pPr>
      <w:r>
        <w:t>Migration 20260817090000_Task18TransformationValidation creates the configuration table, indexes and foreign key, and extends DataImports and ImportErrors. AppDbContext maps the entity and applies the existing workspace query-filter model.</w:t>
      </w:r>
    </w:p>
    <w:p>
      <w:pPr>
        <w:pStyle w:val="3"/>
      </w:pPr>
      <w:r>
        <w:t>8. Error Handling and Transactional Behavior</w:t>
      </w:r>
    </w:p>
    <w:tbl>
      <w:tblPr>
        <w:tblW w:type="dxa" w:w="8640"/>
        <w:jc w:val="left"/>
        <w:tblLayout w:type="fixed"/>
        <w:tblLook w:firstColumn="1" w:firstRow="1" w:lastColumn="0" w:lastRow="0" w:noHBand="0" w:noVBand="1" w:val="04A0"/>
        <w:tblInd w:w="0" w:type="dxa"/>
      </w:tblPr>
      <w:tblGrid>
        <w:gridCol w:w="1800"/>
        <w:gridCol w:w="3590"/>
        <w:gridCol w:w="3250"/>
      </w:tblGrid>
      <w:tr>
        <w:trPr>
          <w:cantSplit/>
          <w:tblHeader w:val="true"/>
        </w:trPr>
        <w:tc>
          <w:tcPr>
            <w:tcW w:type="dxa" w:w="1800"/>
            <w:vAlign w:val="center"/>
            <w:tcMar>
              <w:top w:w="90" w:type="dxa"/>
              <w:start w:w="100" w:type="dxa"/>
              <w:bottom w:w="90" w:type="dxa"/>
              <w:end w:w="100" w:type="dxa"/>
            </w:tcMar>
            <w:shd w:fill="1F4E78"/>
          </w:tcPr>
          <w:p>
            <w:pPr>
              <w:keepNext/>
              <w:spacing w:before="0" w:after="0" w:line="240" w:lineRule="auto"/>
              <w:jc w:val="left"/>
            </w:pPr>
            <w:r>
              <w:rPr>
                <w:rFonts w:ascii="Calibri" w:hAnsi="Calibri"/>
                <w:b/>
                <w:color w:val="FFFFFF"/>
                <w:sz w:val="16"/>
              </w:rPr>
              <w:t>Category</w:t>
            </w:r>
          </w:p>
        </w:tc>
        <w:tc>
          <w:tcPr>
            <w:tcW w:type="dxa" w:w="3590"/>
            <w:vAlign w:val="center"/>
            <w:tcMar>
              <w:top w:w="90" w:type="dxa"/>
              <w:start w:w="100" w:type="dxa"/>
              <w:bottom w:w="90" w:type="dxa"/>
              <w:end w:w="100" w:type="dxa"/>
            </w:tcMar>
            <w:shd w:fill="1F4E78"/>
          </w:tcPr>
          <w:p>
            <w:pPr>
              <w:keepNext/>
              <w:spacing w:before="0" w:after="0" w:line="240" w:lineRule="auto"/>
            </w:pPr>
            <w:r>
              <w:rPr>
                <w:rFonts w:ascii="Calibri" w:hAnsi="Calibri"/>
                <w:b/>
                <w:color w:val="FFFFFF"/>
                <w:sz w:val="16"/>
              </w:rPr>
              <w:t>Trigger</w:t>
            </w:r>
          </w:p>
        </w:tc>
        <w:tc>
          <w:tcPr>
            <w:tcW w:type="dxa" w:w="3250"/>
            <w:vAlign w:val="center"/>
            <w:tcMar>
              <w:top w:w="90" w:type="dxa"/>
              <w:start w:w="100" w:type="dxa"/>
              <w:bottom w:w="90" w:type="dxa"/>
              <w:end w:w="100" w:type="dxa"/>
            </w:tcMar>
            <w:shd w:fill="1F4E78"/>
          </w:tcPr>
          <w:p>
            <w:pPr>
              <w:keepNext/>
              <w:spacing w:before="0" w:after="0" w:line="240" w:lineRule="auto"/>
            </w:pPr>
            <w:r>
              <w:rPr>
                <w:rFonts w:ascii="Calibri" w:hAnsi="Calibri"/>
                <w:b/>
                <w:color w:val="FFFFFF"/>
                <w:sz w:val="16"/>
              </w:rPr>
              <w:t>Persisted context</w:t>
            </w:r>
          </w:p>
        </w:tc>
      </w:tr>
      <w:tr>
        <w:trPr>
          <w:cantSplit/>
        </w:trPr>
        <w:tc>
          <w:tcPr>
            <w:tcW w:type="dxa" w:w="1800"/>
            <w:vAlign w:val="center"/>
            <w:tcMar>
              <w:top w:w="90" w:type="dxa"/>
              <w:start w:w="100" w:type="dxa"/>
              <w:bottom w:w="90" w:type="dxa"/>
              <w:end w:w="100" w:type="dxa"/>
            </w:tcMar>
            <w:shd w:fill="FFFFFF"/>
          </w:tcPr>
          <w:p>
            <w:pPr>
              <w:spacing w:before="0" w:after="0" w:line="240" w:lineRule="auto"/>
              <w:jc w:val="left"/>
            </w:pPr>
            <w:r>
              <w:rPr>
                <w:rFonts w:ascii="Calibri" w:hAnsi="Calibri"/>
                <w:b w:val="0"/>
                <w:color w:val="1F1F1F"/>
                <w:sz w:val="16"/>
              </w:rPr>
              <w:t>Transformation Error</w:t>
            </w:r>
          </w:p>
        </w:tc>
        <w:tc>
          <w:tcPr>
            <w:tcW w:type="dxa" w:w="359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Conversion, missing parameter, invalid format or unsupported execution branch.</w:t>
            </w:r>
          </w:p>
        </w:tc>
        <w:tc>
          <w:tcPr>
            <w:tcW w:type="dxa" w:w="325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Import, row, target field, original value and transformation message.</w:t>
            </w:r>
          </w:p>
        </w:tc>
      </w:tr>
      <w:tr>
        <w:trPr>
          <w:cantSplit/>
        </w:trPr>
        <w:tc>
          <w:tcPr>
            <w:tcW w:type="dxa" w:w="1800"/>
            <w:vAlign w:val="center"/>
            <w:tcMar>
              <w:top w:w="90" w:type="dxa"/>
              <w:start w:w="100" w:type="dxa"/>
              <w:bottom w:w="90" w:type="dxa"/>
              <w:end w:w="100" w:type="dxa"/>
            </w:tcMar>
            <w:shd w:fill="F7FAFC"/>
          </w:tcPr>
          <w:p>
            <w:pPr>
              <w:spacing w:before="0" w:after="0" w:line="240" w:lineRule="auto"/>
              <w:jc w:val="left"/>
            </w:pPr>
            <w:r>
              <w:rPr>
                <w:rFonts w:ascii="Calibri" w:hAnsi="Calibri"/>
                <w:b w:val="0"/>
                <w:color w:val="1F1F1F"/>
                <w:sz w:val="16"/>
              </w:rPr>
              <w:t>Validation Error</w:t>
            </w:r>
          </w:p>
        </w:tc>
        <w:tc>
          <w:tcPr>
            <w:tcW w:type="dxa" w:w="359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One or more configured validation rules fail after transformation.</w:t>
            </w:r>
          </w:p>
        </w:tc>
        <w:tc>
          <w:tcPr>
            <w:tcW w:type="dxa" w:w="325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Import, row, target field, invalid value, Configured validation marker and message.</w:t>
            </w:r>
          </w:p>
        </w:tc>
      </w:tr>
      <w:tr>
        <w:trPr>
          <w:cantSplit/>
        </w:trPr>
        <w:tc>
          <w:tcPr>
            <w:tcW w:type="dxa" w:w="1800"/>
            <w:vAlign w:val="center"/>
            <w:tcMar>
              <w:top w:w="90" w:type="dxa"/>
              <w:start w:w="100" w:type="dxa"/>
              <w:bottom w:w="90" w:type="dxa"/>
              <w:end w:w="100" w:type="dxa"/>
            </w:tcMar>
            <w:shd w:fill="FFFFFF"/>
          </w:tcPr>
          <w:p>
            <w:pPr>
              <w:spacing w:before="0" w:after="0" w:line="240" w:lineRule="auto"/>
              <w:jc w:val="left"/>
            </w:pPr>
            <w:r>
              <w:rPr>
                <w:rFonts w:ascii="Calibri" w:hAnsi="Calibri"/>
                <w:b w:val="0"/>
                <w:color w:val="1F1F1F"/>
                <w:sz w:val="16"/>
              </w:rPr>
              <w:t>Duplicate Error</w:t>
            </w:r>
          </w:p>
        </w:tc>
        <w:tc>
          <w:tcPr>
            <w:tcW w:type="dxa" w:w="359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Task 17 key hash identifies an incoming or existing duplicate.</w:t>
            </w:r>
          </w:p>
        </w:tc>
        <w:tc>
          <w:tcPr>
            <w:tcW w:type="dxa" w:w="325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Import, row, key context and duplicate behavior message.</w:t>
            </w:r>
          </w:p>
        </w:tc>
      </w:tr>
      <w:tr>
        <w:trPr>
          <w:cantSplit/>
        </w:trPr>
        <w:tc>
          <w:tcPr>
            <w:tcW w:type="dxa" w:w="1800"/>
            <w:vAlign w:val="center"/>
            <w:tcMar>
              <w:top w:w="90" w:type="dxa"/>
              <w:start w:w="100" w:type="dxa"/>
              <w:bottom w:w="90" w:type="dxa"/>
              <w:end w:w="100" w:type="dxa"/>
            </w:tcMar>
            <w:shd w:fill="F7FAFC"/>
          </w:tcPr>
          <w:p>
            <w:pPr>
              <w:spacing w:before="0" w:after="0" w:line="240" w:lineRule="auto"/>
              <w:jc w:val="left"/>
            </w:pPr>
            <w:r>
              <w:rPr>
                <w:rFonts w:ascii="Calibri" w:hAnsi="Calibri"/>
                <w:b w:val="0"/>
                <w:color w:val="1F1F1F"/>
                <w:sz w:val="16"/>
              </w:rPr>
              <w:t>Processing Error</w:t>
            </w:r>
          </w:p>
        </w:tc>
        <w:tc>
          <w:tcPr>
            <w:tcW w:type="dxa" w:w="359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Structural or critical import-processing failure.</w:t>
            </w:r>
          </w:p>
        </w:tc>
        <w:tc>
          <w:tcPr>
            <w:tcW w:type="dxa" w:w="325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Import-level failure details and FailureMessage.</w:t>
            </w:r>
          </w:p>
        </w:tc>
      </w:tr>
    </w:tbl>
    <w:p>
      <w:pPr>
        <w:pStyle w:val="164"/>
        <w:spacing w:after="40"/>
      </w:pPr>
    </w:p>
    <w:p>
      <w:pPr>
        <w:pStyle w:val="164"/>
        <w:keepNext w:val="0"/>
      </w:pPr>
      <w:r>
        <w:t>Record-level failures mark the staging row invalid and permit valid rows to continue, yielding Completed With Errors. Final Full/Append mutation remains transactional; critical exceptions and cancellation protect the prior committed dataset state.</w:t>
      </w:r>
    </w:p>
    <w:p>
      <w:pPr>
        <w:pStyle w:val="3"/>
      </w:pPr>
      <w:r>
        <w:t>9. Security, Workspace Isolation and Audit</w:t>
      </w:r>
    </w:p>
    <w:tbl>
      <w:tblPr>
        <w:tblW w:type="dxa" w:w="8640"/>
        <w:jc w:val="left"/>
        <w:tblLayout w:type="fixed"/>
        <w:tblLook w:firstColumn="1" w:firstRow="1" w:lastColumn="0" w:lastRow="0" w:noHBand="0" w:noVBand="1" w:val="04A0"/>
        <w:tblInd w:w="0" w:type="dxa"/>
      </w:tblPr>
      <w:tblGrid>
        <w:gridCol w:w="1900"/>
        <w:gridCol w:w="1700"/>
        <w:gridCol w:w="5040"/>
      </w:tblGrid>
      <w:tr>
        <w:trPr>
          <w:cantSplit/>
          <w:tblHeader w:val="true"/>
        </w:trPr>
        <w:tc>
          <w:tcPr>
            <w:tcW w:type="dxa" w:w="1900"/>
            <w:vAlign w:val="center"/>
            <w:tcMar>
              <w:top w:w="90" w:type="dxa"/>
              <w:start w:w="100" w:type="dxa"/>
              <w:bottom w:w="90" w:type="dxa"/>
              <w:end w:w="100" w:type="dxa"/>
            </w:tcMar>
            <w:shd w:fill="1F4E78"/>
          </w:tcPr>
          <w:p>
            <w:pPr>
              <w:keepNext/>
              <w:spacing w:before="0" w:after="0" w:line="240" w:lineRule="auto"/>
              <w:jc w:val="left"/>
            </w:pPr>
            <w:r>
              <w:rPr>
                <w:rFonts w:ascii="Calibri" w:hAnsi="Calibri"/>
                <w:b/>
                <w:color w:val="FFFFFF"/>
                <w:sz w:val="16"/>
              </w:rPr>
              <w:t>Operation</w:t>
            </w:r>
          </w:p>
        </w:tc>
        <w:tc>
          <w:tcPr>
            <w:tcW w:type="dxa" w:w="1700"/>
            <w:vAlign w:val="center"/>
            <w:tcMar>
              <w:top w:w="90" w:type="dxa"/>
              <w:start w:w="100" w:type="dxa"/>
              <w:bottom w:w="90" w:type="dxa"/>
              <w:end w:w="100" w:type="dxa"/>
            </w:tcMar>
            <w:shd w:fill="1F4E78"/>
          </w:tcPr>
          <w:p>
            <w:pPr>
              <w:keepNext/>
              <w:spacing w:before="0" w:after="0" w:line="240" w:lineRule="auto"/>
            </w:pPr>
            <w:r>
              <w:rPr>
                <w:rFonts w:ascii="Calibri" w:hAnsi="Calibri"/>
                <w:b/>
                <w:color w:val="FFFFFF"/>
                <w:sz w:val="16"/>
              </w:rPr>
              <w:t>Permission</w:t>
            </w:r>
          </w:p>
        </w:tc>
        <w:tc>
          <w:tcPr>
            <w:tcW w:type="dxa" w:w="5040"/>
            <w:vAlign w:val="center"/>
            <w:tcMar>
              <w:top w:w="90" w:type="dxa"/>
              <w:start w:w="100" w:type="dxa"/>
              <w:bottom w:w="90" w:type="dxa"/>
              <w:end w:w="100" w:type="dxa"/>
            </w:tcMar>
            <w:shd w:fill="1F4E78"/>
          </w:tcPr>
          <w:p>
            <w:pPr>
              <w:keepNext/>
              <w:spacing w:before="0" w:after="0" w:line="240" w:lineRule="auto"/>
            </w:pPr>
            <w:r>
              <w:rPr>
                <w:rFonts w:ascii="Calibri" w:hAnsi="Calibri"/>
                <w:b/>
                <w:color w:val="FFFFFF"/>
                <w:sz w:val="16"/>
              </w:rPr>
              <w:t>Audit / isolation behavior</w:t>
            </w:r>
          </w:p>
        </w:tc>
      </w:tr>
      <w:tr>
        <w:trPr>
          <w:cantSplit/>
        </w:trPr>
        <w:tc>
          <w:tcPr>
            <w:tcW w:type="dxa" w:w="1900"/>
            <w:vAlign w:val="center"/>
            <w:tcMar>
              <w:top w:w="90" w:type="dxa"/>
              <w:start w:w="100" w:type="dxa"/>
              <w:bottom w:w="90" w:type="dxa"/>
              <w:end w:w="100" w:type="dxa"/>
            </w:tcMar>
            <w:shd w:fill="FFFFFF"/>
          </w:tcPr>
          <w:p>
            <w:pPr>
              <w:spacing w:before="0" w:after="0" w:line="240" w:lineRule="auto"/>
              <w:jc w:val="left"/>
            </w:pPr>
            <w:r>
              <w:rPr>
                <w:rFonts w:ascii="Calibri" w:hAnsi="Calibri"/>
                <w:b w:val="0"/>
                <w:color w:val="1F1F1F"/>
                <w:sz w:val="16"/>
              </w:rPr>
              <w:t>Save configuration</w:t>
            </w:r>
          </w:p>
        </w:tc>
        <w:tc>
          <w:tcPr>
            <w:tcW w:type="dxa" w:w="170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datasets.update</w:t>
            </w:r>
          </w:p>
        </w:tc>
        <w:tc>
          <w:tcPr>
            <w:tcW w:type="dxa" w:w="504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Mapping Creation for version 1; Transformation Configuration Changes for later versions.</w:t>
            </w:r>
          </w:p>
        </w:tc>
      </w:tr>
      <w:tr>
        <w:trPr>
          <w:cantSplit/>
        </w:trPr>
        <w:tc>
          <w:tcPr>
            <w:tcW w:type="dxa" w:w="1900"/>
            <w:vAlign w:val="center"/>
            <w:tcMar>
              <w:top w:w="90" w:type="dxa"/>
              <w:start w:w="100" w:type="dxa"/>
              <w:bottom w:w="90" w:type="dxa"/>
              <w:end w:w="100" w:type="dxa"/>
            </w:tcMar>
            <w:shd w:fill="F7FAFC"/>
          </w:tcPr>
          <w:p>
            <w:pPr>
              <w:spacing w:before="0" w:after="0" w:line="240" w:lineRule="auto"/>
              <w:jc w:val="left"/>
            </w:pPr>
            <w:r>
              <w:rPr>
                <w:rFonts w:ascii="Calibri" w:hAnsi="Calibri"/>
                <w:b w:val="0"/>
                <w:color w:val="1F1F1F"/>
                <w:sz w:val="16"/>
              </w:rPr>
              <w:t>Delete configuration</w:t>
            </w:r>
          </w:p>
        </w:tc>
        <w:tc>
          <w:tcPr>
            <w:tcW w:type="dxa" w:w="170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datasets.update</w:t>
            </w:r>
          </w:p>
        </w:tc>
        <w:tc>
          <w:tcPr>
            <w:tcW w:type="dxa" w:w="504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Mapping Deletion for an unused version; used versions return 409.</w:t>
            </w:r>
          </w:p>
        </w:tc>
      </w:tr>
      <w:tr>
        <w:trPr>
          <w:cantSplit/>
        </w:trPr>
        <w:tc>
          <w:tcPr>
            <w:tcW w:type="dxa" w:w="1900"/>
            <w:vAlign w:val="center"/>
            <w:tcMar>
              <w:top w:w="90" w:type="dxa"/>
              <w:start w:w="100" w:type="dxa"/>
              <w:bottom w:w="90" w:type="dxa"/>
              <w:end w:w="100" w:type="dxa"/>
            </w:tcMar>
            <w:shd w:fill="FFFFFF"/>
          </w:tcPr>
          <w:p>
            <w:pPr>
              <w:spacing w:before="0" w:after="0" w:line="240" w:lineRule="auto"/>
              <w:jc w:val="left"/>
            </w:pPr>
            <w:r>
              <w:rPr>
                <w:rFonts w:ascii="Calibri" w:hAnsi="Calibri"/>
                <w:b w:val="0"/>
                <w:color w:val="1F1F1F"/>
                <w:sz w:val="16"/>
              </w:rPr>
              <w:t>Read active/history</w:t>
            </w:r>
          </w:p>
        </w:tc>
        <w:tc>
          <w:tcPr>
            <w:tcW w:type="dxa" w:w="170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datasets.view</w:t>
            </w:r>
          </w:p>
        </w:tc>
        <w:tc>
          <w:tcPr>
            <w:tcW w:type="dxa" w:w="504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Read-only access remains workspace filtered.</w:t>
            </w:r>
          </w:p>
        </w:tc>
      </w:tr>
      <w:tr>
        <w:trPr>
          <w:cantSplit/>
        </w:trPr>
        <w:tc>
          <w:tcPr>
            <w:tcW w:type="dxa" w:w="1900"/>
            <w:vAlign w:val="center"/>
            <w:tcMar>
              <w:top w:w="90" w:type="dxa"/>
              <w:start w:w="100" w:type="dxa"/>
              <w:bottom w:w="90" w:type="dxa"/>
              <w:end w:w="100" w:type="dxa"/>
            </w:tcMar>
            <w:shd w:fill="F7FAFC"/>
          </w:tcPr>
          <w:p>
            <w:pPr>
              <w:spacing w:before="0" w:after="0" w:line="240" w:lineRule="auto"/>
              <w:jc w:val="left"/>
            </w:pPr>
            <w:r>
              <w:rPr>
                <w:rFonts w:ascii="Calibri" w:hAnsi="Calibri"/>
                <w:b w:val="0"/>
                <w:color w:val="1F1F1F"/>
                <w:sz w:val="16"/>
              </w:rPr>
              <w:t>Preview</w:t>
            </w:r>
          </w:p>
        </w:tc>
        <w:tc>
          <w:tcPr>
            <w:tcW w:type="dxa" w:w="170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imports.view</w:t>
            </w:r>
          </w:p>
        </w:tc>
        <w:tc>
          <w:tcPr>
            <w:tcW w:type="dxa" w:w="5040"/>
            <w:vAlign w:val="center"/>
            <w:tcMar>
              <w:top w:w="90" w:type="dxa"/>
              <w:start w:w="100" w:type="dxa"/>
              <w:bottom w:w="90" w:type="dxa"/>
              <w:end w:w="100" w:type="dxa"/>
            </w:tcMar>
            <w:shd w:fill="F7FAFC"/>
          </w:tcPr>
          <w:p>
            <w:pPr>
              <w:spacing w:before="0" w:after="0" w:line="240" w:lineRule="auto"/>
            </w:pPr>
            <w:r>
              <w:rPr>
                <w:rFonts w:ascii="Calibri" w:hAnsi="Calibri"/>
                <w:b w:val="0"/>
                <w:color w:val="1F1F1F"/>
                <w:sz w:val="16"/>
              </w:rPr>
              <w:t>Import and staging access remains workspace filtered; preview performs no final writes.</w:t>
            </w:r>
          </w:p>
        </w:tc>
      </w:tr>
      <w:tr>
        <w:trPr>
          <w:cantSplit/>
        </w:trPr>
        <w:tc>
          <w:tcPr>
            <w:tcW w:type="dxa" w:w="1900"/>
            <w:vAlign w:val="center"/>
            <w:tcMar>
              <w:top w:w="90" w:type="dxa"/>
              <w:start w:w="100" w:type="dxa"/>
              <w:bottom w:w="90" w:type="dxa"/>
              <w:end w:w="100" w:type="dxa"/>
            </w:tcMar>
            <w:shd w:fill="FFFFFF"/>
          </w:tcPr>
          <w:p>
            <w:pPr>
              <w:spacing w:before="0" w:after="0" w:line="240" w:lineRule="auto"/>
              <w:jc w:val="left"/>
            </w:pPr>
            <w:r>
              <w:rPr>
                <w:rFonts w:ascii="Calibri" w:hAnsi="Calibri"/>
                <w:b w:val="0"/>
                <w:color w:val="1F1F1F"/>
                <w:sz w:val="16"/>
              </w:rPr>
              <w:t>Execute import</w:t>
            </w:r>
          </w:p>
        </w:tc>
        <w:tc>
          <w:tcPr>
            <w:tcW w:type="dxa" w:w="170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Task 17 import permissions</w:t>
            </w:r>
          </w:p>
        </w:tc>
        <w:tc>
          <w:tcPr>
            <w:tcW w:type="dxa" w:w="5040"/>
            <w:vAlign w:val="center"/>
            <w:tcMar>
              <w:top w:w="90" w:type="dxa"/>
              <w:start w:w="100" w:type="dxa"/>
              <w:bottom w:w="90" w:type="dxa"/>
              <w:end w:w="100" w:type="dxa"/>
            </w:tcMar>
            <w:shd w:fill="FFFFFF"/>
          </w:tcPr>
          <w:p>
            <w:pPr>
              <w:spacing w:before="0" w:after="0" w:line="240" w:lineRule="auto"/>
            </w:pPr>
            <w:r>
              <w:rPr>
                <w:rFonts w:ascii="Calibri" w:hAnsi="Calibri"/>
                <w:b w:val="0"/>
                <w:color w:val="1F1F1F"/>
                <w:sz w:val="16"/>
              </w:rPr>
              <w:t>Existing import initiation/completion/failure audit events cover configured execution.</w:t>
            </w:r>
          </w:p>
        </w:tc>
      </w:tr>
    </w:tbl>
    <w:p>
      <w:pPr>
        <w:pStyle w:val="164"/>
        <w:spacing w:after="40"/>
      </w:pPr>
    </w:p>
    <w:p>
      <w:pPr>
        <w:pStyle w:val="164"/>
        <w:spacing w:before="60" w:after="140"/>
        <w:ind w:left="173"/>
        <w:shd w:fill="EAF2F8"/>
        <w:pBdr>
          <w:left w:val="single" w:sz="18" w:space="6" w:color="4F81BD"/>
        </w:pBdr>
      </w:pPr>
      <w:r>
        <w:rPr>
          <w:b/>
        </w:rPr>
        <w:t xml:space="preserve">Isolation guarantee. </w:t>
      </w:r>
      <w:r>
        <w:t>DatasetTransformationConfiguration implements IWorkspaceOwned. Global query filters restrict configurations, datasets, imports, staging values and errors to the caller's workspace unless the caller is a Platform Administrator.</w:t>
      </w:r>
    </w:p>
    <w:p>
      <w:pPr>
        <w:pStyle w:val="3"/>
      </w:pPr>
      <w:r>
        <w:t>10. Validation and Test Evidence</w:t>
      </w:r>
    </w:p>
    <w:p>
      <w:pPr>
        <w:pStyle w:val="164"/>
        <w:keepNext w:val="0"/>
      </w:pPr>
      <w:r>
        <w:t>The supplied solution builds successfully and its complete xUnit suite reports 26 passed, 0 failed. TransformationModuleTests directly verifies the engine behaviors below.</w:t>
      </w:r>
    </w:p>
    <w:p>
      <w:pPr>
        <w:pStyle w:val="23"/>
        <w:spacing w:after="20"/>
      </w:pPr>
      <w:r>
        <w:t>Mapping default is applied, then Trim and Uppercase execute by sequence, then AllowedValues validates the result.</w:t>
      </w:r>
    </w:p>
    <w:p>
      <w:pPr>
        <w:pStyle w:val="23"/>
        <w:spacing w:after="20"/>
      </w:pPr>
      <w:r>
        <w:t>Multiple validation rules are evaluated and their messages are accumulated.</w:t>
      </w:r>
    </w:p>
    <w:p>
      <w:pPr>
        <w:pStyle w:val="23"/>
        <w:spacing w:after="20"/>
      </w:pPr>
      <w:r>
        <w:t>Invalid Numeric conversion is returned as a Transformation Error.</w:t>
      </w:r>
    </w:p>
    <w:p>
      <w:pPr>
        <w:pStyle w:val="23"/>
        <w:spacing w:after="20"/>
      </w:pPr>
      <w:r>
        <w:t>Derived templates expand values from other staged row columns.</w:t>
      </w:r>
    </w:p>
    <w:p>
      <w:pPr>
        <w:pStyle w:val="165"/>
        <w:keepLines/>
        <w:spacing w:before="40" w:after="100"/>
        <w:shd w:fill="F2F2F2"/>
      </w:pPr>
      <w:r>
        <w:t>dotnet test EnterpriseDataIntelligencePlatform.Tests/EnterpriseDataIntelligencePlatform.Tests.csproj</w:t>
        <w:br/>
        <w:t>Result: Passed 26; Failed 0; Skipped 0</w:t>
      </w:r>
    </w:p>
    <w:p>
      <w:pPr>
        <w:pStyle w:val="164"/>
        <w:keepNext w:val="0"/>
      </w:pPr>
      <w:r>
        <w:t>Recommended API verification includes version creation and history, active-version replacement, configuration pinning across versions 2 and 3, preview limits 1 and 100, mixed valid/invalid imports, duplicate handling, used-version deletion conflict, RBAC and cross-workspace access denial.</w:t>
      </w:r>
    </w:p>
    <w:p>
      <w:pPr>
        <w:pStyle w:val="3"/>
      </w:pPr>
      <w:r>
        <w:t>11. Acceptance Checklist</w:t>
      </w:r>
    </w:p>
    <w:p>
      <w:pPr>
        <w:pStyle w:val="23"/>
        <w:spacing w:after="20"/>
      </w:pPr>
      <w:r>
        <w:t>Implemented - reusable dataset-level source-to-target mappings referencing existing DatasetColumns.</w:t>
      </w:r>
    </w:p>
    <w:p>
      <w:pPr>
        <w:pStyle w:val="23"/>
        <w:spacing w:after="20"/>
      </w:pPr>
      <w:r>
        <w:t>Implemented - immutable integer configuration versions with exactly one active row.</w:t>
      </w:r>
    </w:p>
    <w:p>
      <w:pPr>
        <w:pStyle w:val="23"/>
        <w:spacing w:after="20"/>
      </w:pPr>
      <w:r>
        <w:t>Implemented - import-time configuration ID/version pinning and reproducible processing.</w:t>
      </w:r>
    </w:p>
    <w:p>
      <w:pPr>
        <w:pStyle w:val="23"/>
        <w:spacing w:after="20"/>
      </w:pPr>
      <w:r>
        <w:t>Implemented - default plus ordered transformation and ordered validation execution.</w:t>
      </w:r>
    </w:p>
    <w:p>
      <w:pPr>
        <w:pStyle w:val="23"/>
        <w:spacing w:after="20"/>
      </w:pPr>
      <w:r>
        <w:t>Implemented - nine transformations, nine validations and Task 17 duplicate delegation.</w:t>
      </w:r>
    </w:p>
    <w:p>
      <w:pPr>
        <w:pStyle w:val="23"/>
        <w:spacing w:after="20"/>
      </w:pPr>
      <w:r>
        <w:t>Implemented - 1-100 row, non-persistent staging preview with original/transformed values and errors.</w:t>
      </w:r>
    </w:p>
    <w:p>
      <w:pPr>
        <w:pStyle w:val="23"/>
        <w:spacing w:after="20"/>
      </w:pPr>
      <w:r>
        <w:t>Implemented - categorized errors, valid-row continuation and Completed With Errors behavior.</w:t>
      </w:r>
    </w:p>
    <w:p>
      <w:pPr>
        <w:pStyle w:val="23"/>
        <w:spacing w:after="20"/>
      </w:pPr>
      <w:r>
        <w:t>Implemented - migration, indexes, restricted configuration deletion and import response extensions.</w:t>
      </w:r>
    </w:p>
    <w:p>
      <w:pPr>
        <w:pStyle w:val="23"/>
        <w:spacing w:after="20"/>
      </w:pPr>
      <w:r>
        <w:t>Implemented - datasets.update/datasets.view/imports.view authorization, workspace filters and audit events.</w:t>
      </w:r>
    </w:p>
    <w:p>
      <w:pPr>
        <w:pStyle w:val="23"/>
        <w:spacing w:after="20"/>
      </w:pPr>
      <w:r>
        <w:t>Implemented - focused engine tests and passing full solution test suite.</w:t>
      </w:r>
    </w:p>
    <w:p>
      <w:pPr>
        <w:pStyle w:val="3"/>
      </w:pPr>
      <w:r>
        <w:t>12. Production-Readiness Notes</w:t>
      </w:r>
    </w:p>
    <w:p>
      <w:pPr>
        <w:pStyle w:val="164"/>
        <w:spacing w:before="60" w:after="140"/>
        <w:ind w:left="173"/>
        <w:shd w:fill="FFF2CC"/>
        <w:pBdr>
          <w:left w:val="single" w:sz="18" w:space="6" w:color="4F81BD"/>
        </w:pBdr>
      </w:pPr>
      <w:r>
        <w:rPr>
          <w:b/>
        </w:rPr>
        <w:t xml:space="preserve">Important. </w:t>
      </w:r>
      <w:r>
        <w:t>Task 18 is complete for the current assignment scope. The following hardening items should be addressed before configuration is exposed to untrusted production administrators.</w:t>
      </w:r>
    </w:p>
    <w:p>
      <w:pPr>
        <w:pStyle w:val="23"/>
        <w:spacing w:after="20"/>
      </w:pPr>
      <w:r>
        <w:t>Validate every validation-rule type at save time; the current service explicitly rejects unknown transformation types but does not maintain an equivalent validation-rule allow-list check.</w:t>
      </w:r>
    </w:p>
    <w:p>
      <w:pPr>
        <w:pStyle w:val="23"/>
        <w:spacing w:after="20"/>
      </w:pPr>
      <w:r>
        <w:t>Validate required rule parameters, numeric/date bounds, regular expressions and positive/unique Sequence values before saving; malformed parameters currently surface during execution.</w:t>
      </w:r>
    </w:p>
    <w:p>
      <w:pPr>
        <w:pStyle w:val="23"/>
        <w:spacing w:after="20"/>
      </w:pPr>
      <w:r>
        <w:t>Reject duplicate target-column mappings as well as duplicate source headers to avoid ambiguous output ownership.</w:t>
      </w:r>
    </w:p>
    <w:p>
      <w:pPr>
        <w:pStyle w:val="23"/>
        <w:spacing w:after="20"/>
      </w:pPr>
      <w:r>
        <w:t>Pair NumericRange and DateRange with DataType when invalid lexical input must fail; range rules currently evaluate only parseable values.</w:t>
      </w:r>
    </w:p>
    <w:p>
      <w:pPr>
        <w:pStyle w:val="23"/>
        <w:spacing w:after="20"/>
      </w:pPr>
      <w:r>
        <w:t>Consider reactivating the previous configuration or rejecting deletion when the active unused version is removed.</w:t>
      </w:r>
    </w:p>
    <w:p>
      <w:pPr>
        <w:pStyle w:val="23"/>
        <w:spacing w:after="20"/>
      </w:pPr>
      <w:r>
        <w:t>Add integration tests for configuration pinning, preview persistence guarantees, deletion conflict, mixed-row continuation, rollback, RBAC and workspace isolation.</w:t>
      </w:r>
    </w:p>
    <w:p>
      <w:pPr>
        <w:pStyle w:val="23"/>
        <w:spacing w:after="20"/>
      </w:pPr>
      <w:r>
        <w:t>For large configurations, consider normalized rule tables or indexed configuration metadata while retaining immutable snapshots for reproducibility.</w:t>
      </w:r>
    </w:p>
    <w:p>
      <w:pPr>
        <w:pStyle w:val="2"/>
      </w:pPr>
      <w:r>
        <w:t>Overall Project Conclusion</w:t>
      </w:r>
    </w:p>
    <w:p>
      <w:pPr>
        <w:pStyle w:val="164"/>
        <w:keepNext w:val="0"/>
      </w:pPr>
      <w:r>
        <w:t>The Enterprise Data Intelligence Platform now provides an integrated foundation for authentication and security, workspace isolation, user and role administration, dataset and catalog lifecycle management, metadata versioning, audit logging, secure data ingestion, and governed data preparation. Task 17 adds controlled CSV/XLSX import processing with reusable schemas, row-level errors, duplicate handling and transactional commits; Task 18 extends that pipeline with reusable mappings, immutable transformation configurations, ordered validation rules, non-persistent previews and import-time configuration pinning. Together, these capabilities preserve traceability, reproducibility and tenant boundaries while providing clear REST APIs for Swagger and Postman verification. The implemented platform is ready for assignment demonstration, with the documented production-readiness items defining the path toward durable queuing, larger-scale processing and broader integration coverage.</w:t>
      </w:r>
    </w:p>
    <w:sectPr>
      <w:footerReference r:id="rId7" w:type="first"/>
      <w:footerReference r:id="rId5" w:type="default"/>
      <w:footerReference r:id="rId6" w:type="even"/>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1124E">
    <w:pPr>
      <w:pStyle w:val="18"/>
      <w:jc w:val="center"/>
    </w:pPr>
    <w:r>
      <w:rPr>
        <w:rFonts w:ascii="Calibri" w:hAnsi="Calibri"/>
        <w:color w:val="666666"/>
        <w:sz w:val="17"/>
      </w:rPr>
      <w:t xml:space="preserve">Enterprise Data Intelligence Platform  •  Technical Documentation  •  Page </w:t>
    </w:r>
    <w:r>
      <w:rPr>
        <w:rFonts w:ascii="Calibri" w:hAnsi="Calibri"/>
        <w:color w:val="666666"/>
        <w:sz w:val="17"/>
      </w:rPr>
      <w:fldChar w:fldCharType="begin"/>
    </w:r>
    <w:r>
      <w:rPr>
        <w:rFonts w:ascii="Calibri" w:hAnsi="Calibri"/>
        <w:color w:val="666666"/>
        <w:sz w:val="17"/>
      </w:rPr>
      <w:instrText xml:space="preserve">PAGE</w:instrText>
    </w:r>
    <w:r>
      <w:rPr>
        <w:rFonts w:ascii="Calibri" w:hAnsi="Calibri"/>
        <w:color w:val="666666"/>
        <w:sz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E4A41">
    <w:pPr>
      <w:pStyle w:val="18"/>
      <w:jc w:val="center"/>
    </w:pPr>
    <w:r>
      <w:rPr>
        <w:rFonts w:ascii="Calibri" w:hAnsi="Calibri"/>
        <w:color w:val="666666"/>
        <w:sz w:val="17"/>
      </w:rPr>
      <w:t xml:space="preserve">Enterprise Data Intelligence Platform  •  Data Import &amp; Ingestion  •  Page </w:t>
    </w:r>
    <w:r>
      <w:rPr>
        <w:rFonts w:ascii="Calibri" w:hAnsi="Calibri"/>
        <w:color w:val="666666"/>
        <w:sz w:val="17"/>
      </w:rPr>
      <w:fldChar w:fldCharType="begin"/>
    </w:r>
    <w:r>
      <w:rPr>
        <w:rFonts w:ascii="Calibri" w:hAnsi="Calibri"/>
        <w:color w:val="666666"/>
        <w:sz w:val="17"/>
      </w:rPr>
      <w:instrText xml:space="preserve">PAGE</w:instrText>
    </w:r>
    <w:r>
      <w:rPr>
        <w:rFonts w:ascii="Calibri" w:hAnsi="Calibri"/>
        <w:color w:val="666666"/>
        <w:sz w:val="17"/>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A62573">
    <w:pPr>
      <w:pStyle w:val="18"/>
      <w:jc w:val="center"/>
    </w:pPr>
    <w:r>
      <w:rPr>
        <w:rFonts w:ascii="Calibri" w:hAnsi="Calibri"/>
        <w:color w:val="666666"/>
        <w:sz w:val="17"/>
      </w:rPr>
      <w:t xml:space="preserve">Enterprise Data Intelligence Platform  •  Data Import &amp; Ingestion  •  Page </w:t>
    </w:r>
    <w:r>
      <w:rPr>
        <w:rFonts w:ascii="Calibri" w:hAnsi="Calibri"/>
        <w:color w:val="666666"/>
        <w:sz w:val="17"/>
      </w:rPr>
      <w:fldChar w:fldCharType="begin"/>
    </w:r>
    <w:r>
      <w:rPr>
        <w:rFonts w:ascii="Calibri" w:hAnsi="Calibri"/>
        <w:color w:val="666666"/>
        <w:sz w:val="17"/>
      </w:rPr>
      <w:instrText xml:space="preserve">PAGE</w:instrText>
    </w:r>
    <w:r>
      <w:rPr>
        <w:rFonts w:ascii="Calibri" w:hAnsi="Calibri"/>
        <w:color w:val="666666"/>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2D487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Module Body"/>
    <w:basedOn w:val="1"/>
    <w:uiPriority w:val="0"/>
    <w:pPr>
      <w:widowControl/>
      <w:spacing w:after="120" w:line="269" w:lineRule="auto"/>
    </w:pPr>
    <w:rPr>
      <w:rFonts w:ascii="Cambria" w:hAnsi="Cambria"/>
      <w:sz w:val="21"/>
    </w:rPr>
  </w:style>
  <w:style w:type="paragraph" w:customStyle="1" w:styleId="165">
    <w:name w:val="Module Code"/>
    <w:basedOn w:val="1"/>
    <w:uiPriority w:val="0"/>
    <w:pPr>
      <w:keepLines/>
    </w:pPr>
    <w:rPr>
      <w:rFonts w:ascii="Consolas" w:hAnsi="Consolas"/>
      <w:sz w:val="16"/>
    </w:rPr>
  </w:style>
  <w:style w:type="paragraph" w:customStyle="1" w:styleId="166">
    <w:name w:val="Module Caption"/>
    <w:basedOn w:val="1"/>
    <w:uiPriority w:val="0"/>
    <w:rPr>
      <w:rFonts w:ascii="Cambria" w:hAnsi="Cambria"/>
      <w:i/>
      <w:color w:val="666666"/>
      <w:sz w:val="17"/>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501</Words>
  <Characters>4125</Characters>
  <Lines>0</Lines>
  <Paragraphs>0</Paragraphs>
  <TotalTime>0</TotalTime>
  <ScaleCrop>false</ScaleCrop>
  <LinksUpToDate>false</LinksUpToDate>
  <CharactersWithSpaces>4638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Extended with the fully implemented Task 18 Data Transformation, Mapping &amp; Validation Rules module.</dc:description>
  <cp:keywords>EDIP, data import, ingestion, CSV, XLSX, .NET 8</cp:keywords>
  <cp:lastModifiedBy>papireddy potlapalli</cp:lastModifiedBy>
  <dcterms:modified xsi:type="dcterms:W3CDTF">2026-08-20T06:24:48Z</dcterms:modified>
  <dc:subject>Enterprise Data Intelligence Platform technical documentation through Task 18</dc:subject>
  <dc:title>Data Import &amp; Ingestion Management Module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eyJoZGlkIjoiN2RlODY0ZTk5ZDJjYTQ4MTZjMjVlOTYzYzRkYTVjMWQiLCJ1c2VySWQiOiI1NjcxMjA3NzUyMjAifQ==</vt:lpwstr>
  </property>
  <property fmtid="{D5CDD505-2E9C-101B-9397-08002B2CF9AE}" pid="3" name="KSOProductBuildVer">
    <vt:lpwstr>1033-12.1.0.28032</vt:lpwstr>
  </property>
  <property fmtid="{D5CDD505-2E9C-101B-9397-08002B2CF9AE}" pid="4" name="ICV">
    <vt:lpwstr>5261CD3750964A548EC45171FD921983_12</vt:lpwstr>
  </property>
</Properties>
</file>