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56"/>
        </w:rPr>
        <w:t>meerkatPOS</w:t>
      </w:r>
    </w:p>
    <w:p>
      <w:pPr>
        <w:jc w:val="center"/>
      </w:pPr>
      <w:r>
        <w:rPr>
          <w:b/>
          <w:i w:val="0"/>
          <w:sz w:val="36"/>
        </w:rPr>
        <w:t>Item Setup Guide</w:t>
      </w:r>
    </w:p>
    <w:p>
      <w:pPr>
        <w:jc w:val="center"/>
      </w:pPr>
      <w:r>
        <w:rPr>
          <w:b w:val="0"/>
          <w:i/>
          <w:sz w:val="22"/>
        </w:rPr>
        <w:t>Field-by-field record of the Item form, section by section, for bringing a new product into the catalog.</w:t>
      </w:r>
    </w:p>
    <w:p/>
    <w:p>
      <w:pPr>
        <w:pStyle w:val="Heading1"/>
      </w:pPr>
      <w:r>
        <w:t>1. Overview</w:t>
      </w:r>
    </w:p>
    <w:p>
      <w:r>
        <w:rPr>
          <w:b w:val="0"/>
          <w:i w:val="0"/>
        </w:rPr>
        <w:t>An Item is master data. It has to exist before any stock movement can reference it — a Stock Entry, a Purchase Invoice, or the POS “Add Stock” screen can only bring in quantity for an item code that has already been created here. There is no path that creates an item on the fly.</w:t>
      </w:r>
    </w:p>
    <w:p>
      <w:r>
        <w:rPr>
          <w:b w:val="0"/>
          <w:i w:val="0"/>
        </w:rPr>
        <w:t>Creating or editing items requires a Frappe desk account with the Item Manager role (add Stock Manager too if the same person will also do stock entries) — not System Manager. Item Manager and Stock Manager together cover Item, Item Group, Brand, UOM, Warehouse, Stock Entry, and Stock Reconciliation without touching Users, Roles, or System Settings.</w:t>
      </w:r>
    </w:p>
    <w:p>
      <w:pPr>
        <w:pStyle w:val="Heading1"/>
      </w:pPr>
      <w:r>
        <w:t>2. Details Tab</w:t>
      </w:r>
    </w:p>
    <w:p>
      <w:r>
        <w:rPr>
          <w:b w:val="0"/>
          <w:i w:val="0"/>
        </w:rPr>
        <w:t>Page: Desk → Item → New Item, first tab (always visible).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Fieldname</w:t>
            </w:r>
          </w:p>
        </w:tc>
        <w:tc>
          <w:tcPr>
            <w:tcW w:type="dxa" w:w="2880"/>
          </w:tcPr>
          <w:p>
            <w:r>
              <w:rPr>
                <w:b/>
              </w:rPr>
              <w:t>Guidance</w:t>
            </w:r>
          </w:p>
        </w:tc>
      </w:tr>
      <w:tr>
        <w:tc>
          <w:tcPr>
            <w:tcW w:type="dxa" w:w="2880"/>
          </w:tcPr>
          <w:p>
            <w:r>
              <w:t>Item Code</w:t>
            </w:r>
          </w:p>
        </w:tc>
        <w:tc>
          <w:tcPr>
            <w:tcW w:type="dxa" w:w="2880"/>
          </w:tcPr>
          <w:p>
            <w:r>
              <w:t>item_code</w:t>
            </w:r>
          </w:p>
        </w:tc>
        <w:tc>
          <w:tcPr>
            <w:tcW w:type="dxa" w:w="2880"/>
          </w:tcPr>
          <w:p>
            <w:r>
              <w:rPr>
                <w:b w:val="0"/>
              </w:rPr>
              <w:t>The unique SKU. Auto-fills if Item Naming By is set to Naming Series in Stock Settings — otherwise type a short code by hand.</w:t>
            </w:r>
          </w:p>
        </w:tc>
      </w:tr>
      <w:tr>
        <w:tc>
          <w:tcPr>
            <w:tcW w:type="dxa" w:w="2880"/>
          </w:tcPr>
          <w:p>
            <w:r>
              <w:t>Item Name / Local Item Name</w:t>
            </w:r>
          </w:p>
        </w:tc>
        <w:tc>
          <w:tcPr>
            <w:tcW w:type="dxa" w:w="2880"/>
          </w:tcPr>
          <w:p>
            <w:r>
              <w:t>item_name / local_item_name</w:t>
            </w:r>
          </w:p>
        </w:tc>
        <w:tc>
          <w:tcPr>
            <w:tcW w:type="dxa" w:w="2880"/>
          </w:tcPr>
          <w:p>
            <w:r>
              <w:rPr>
                <w:b w:val="0"/>
              </w:rPr>
              <w:t>Item Name is the internal name used everywhere. Local Item Name is optional and, when set, overrides it on anything customer-facing — the cart, Price Checker, and the printed receipt.</w:t>
            </w:r>
          </w:p>
        </w:tc>
      </w:tr>
      <w:tr>
        <w:tc>
          <w:tcPr>
            <w:tcW w:type="dxa" w:w="2880"/>
          </w:tcPr>
          <w:p>
            <w:r>
              <w:t>Item Group</w:t>
            </w:r>
          </w:p>
        </w:tc>
        <w:tc>
          <w:tcPr>
            <w:tcW w:type="dxa" w:w="2880"/>
          </w:tcPr>
          <w:p>
            <w:r>
              <w:t>item_group</w:t>
            </w:r>
          </w:p>
        </w:tc>
        <w:tc>
          <w:tcPr>
            <w:tcW w:type="dxa" w:w="2880"/>
          </w:tcPr>
          <w:p>
            <w:r>
              <w:rPr>
                <w:b w:val="0"/>
              </w:rPr>
              <w:t>Required. Pick or create a group matching real store categories — drives filtering in both the desk and the POS item grid.</w:t>
            </w:r>
          </w:p>
        </w:tc>
      </w:tr>
      <w:tr>
        <w:tc>
          <w:tcPr>
            <w:tcW w:type="dxa" w:w="2880"/>
          </w:tcPr>
          <w:p>
            <w:r>
              <w:t>Default Unit of Measure</w:t>
            </w:r>
          </w:p>
        </w:tc>
        <w:tc>
          <w:tcPr>
            <w:tcW w:type="dxa" w:w="2880"/>
          </w:tcPr>
          <w:p>
            <w:r>
              <w:t>stock_uom</w:t>
            </w:r>
          </w:p>
        </w:tc>
        <w:tc>
          <w:tcPr>
            <w:tcW w:type="dxa" w:w="2880"/>
          </w:tcPr>
          <w:p>
            <w:r>
              <w:rPr>
                <w:b w:val="0"/>
              </w:rPr>
              <w:t>Nos for anything sold as discrete units. Switch only for weight/volume goods (Kg, Litre).</w:t>
            </w:r>
          </w:p>
        </w:tc>
      </w:tr>
      <w:tr>
        <w:tc>
          <w:tcPr>
            <w:tcW w:type="dxa" w:w="2880"/>
          </w:tcPr>
          <w:p>
            <w:r>
              <w:t>Allow Alternative Item</w:t>
            </w:r>
          </w:p>
        </w:tc>
        <w:tc>
          <w:tcPr>
            <w:tcW w:type="dxa" w:w="2880"/>
          </w:tcPr>
          <w:p>
            <w:r>
              <w:t>allow_alternative_item</w:t>
            </w:r>
          </w:p>
        </w:tc>
        <w:tc>
          <w:tcPr>
            <w:tcW w:type="dxa" w:w="2880"/>
          </w:tcPr>
          <w:p>
            <w:r>
              <w:rPr>
                <w:b w:val="0"/>
              </w:rPr>
              <w:t>A substitution feature for purchasing/manufacturing. Leave unchecked — not used in straight retail.</w:t>
            </w:r>
          </w:p>
        </w:tc>
      </w:tr>
      <w:tr>
        <w:tc>
          <w:tcPr>
            <w:tcW w:type="dxa" w:w="2880"/>
          </w:tcPr>
          <w:p>
            <w:r>
              <w:t>Maintain Stock</w:t>
            </w:r>
          </w:p>
        </w:tc>
        <w:tc>
          <w:tcPr>
            <w:tcW w:type="dxa" w:w="2880"/>
          </w:tcPr>
          <w:p>
            <w:r>
              <w:t>is_stock_item</w:t>
            </w:r>
          </w:p>
        </w:tc>
        <w:tc>
          <w:tcPr>
            <w:tcW w:type="dxa" w:w="2880"/>
          </w:tcPr>
          <w:p>
            <w:r>
              <w:rPr>
                <w:b/>
              </w:rPr>
              <w:t>MUST CHECK for anything tracked and sold through the POS. Left unchecked, it becomes a service item with no stock ledger at all — invisible to Stock Entries and Add Stock.</w:t>
            </w:r>
          </w:p>
        </w:tc>
      </w:tr>
      <w:tr>
        <w:tc>
          <w:tcPr>
            <w:tcW w:type="dxa" w:w="2880"/>
          </w:tcPr>
          <w:p>
            <w:r>
              <w:t>Has Variants</w:t>
            </w:r>
          </w:p>
        </w:tc>
        <w:tc>
          <w:tcPr>
            <w:tcW w:type="dxa" w:w="2880"/>
          </w:tcPr>
          <w:p>
            <w:r>
              <w:t>has_variants</w:t>
            </w:r>
          </w:p>
        </w:tc>
        <w:tc>
          <w:tcPr>
            <w:tcW w:type="dxa" w:w="2880"/>
          </w:tcPr>
          <w:p>
            <w:r>
              <w:rPr>
                <w:b w:val="0"/>
              </w:rPr>
              <w:t>Only for template items generating multiple SKUs (size/colour). Leave unchecked for a standalone item.</w:t>
            </w:r>
          </w:p>
        </w:tc>
      </w:tr>
      <w:tr>
        <w:tc>
          <w:tcPr>
            <w:tcW w:type="dxa" w:w="2880"/>
          </w:tcPr>
          <w:p>
            <w:r>
              <w:t>Valuation Rate / Opening Stock</w:t>
            </w:r>
          </w:p>
        </w:tc>
        <w:tc>
          <w:tcPr>
            <w:tcW w:type="dxa" w:w="2880"/>
          </w:tcPr>
          <w:p>
            <w:r>
              <w:t>valuation_rate</w:t>
            </w:r>
          </w:p>
        </w:tc>
        <w:tc>
          <w:tcPr>
            <w:tcW w:type="dxa" w:w="2880"/>
          </w:tcPr>
          <w:p>
            <w:r>
              <w:rPr>
                <w:b/>
              </w:rPr>
              <w:t>Leave at 0 for a brand-new item. Filling in both Opening Stock and Valuation Rate here auto-creates a stock entry straight from this form, bypassing Add Stock — fine as a one-off, but keep at 0 to route every stock movement through the same workflow.</w:t>
            </w:r>
          </w:p>
        </w:tc>
      </w:tr>
      <w:tr>
        <w:tc>
          <w:tcPr>
            <w:tcW w:type="dxa" w:w="2880"/>
          </w:tcPr>
          <w:p>
            <w:r>
              <w:t>Is Fixed Asset</w:t>
            </w:r>
          </w:p>
        </w:tc>
        <w:tc>
          <w:tcPr>
            <w:tcW w:type="dxa" w:w="2880"/>
          </w:tcPr>
          <w:p>
            <w:r>
              <w:t>is_fixed_asset</w:t>
            </w:r>
          </w:p>
        </w:tc>
        <w:tc>
          <w:tcPr>
            <w:tcW w:type="dxa" w:w="2880"/>
          </w:tcPr>
          <w:p>
            <w:r>
              <w:rPr>
                <w:b w:val="0"/>
              </w:rPr>
              <w:t>For company equipment — machinery, furniture. Never for retail merchandise.</w:t>
            </w:r>
          </w:p>
        </w:tc>
      </w:tr>
      <w:tr>
        <w:tc>
          <w:tcPr>
            <w:tcW w:type="dxa" w:w="2880"/>
          </w:tcPr>
          <w:p>
            <w:r>
              <w:t>UOM Conversion Details</w:t>
            </w:r>
          </w:p>
        </w:tc>
        <w:tc>
          <w:tcPr>
            <w:tcW w:type="dxa" w:w="2880"/>
          </w:tcPr>
          <w:p>
            <w:r>
              <w:t>uoms</w:t>
            </w:r>
          </w:p>
        </w:tc>
        <w:tc>
          <w:tcPr>
            <w:tcW w:type="dxa" w:w="2880"/>
          </w:tcPr>
          <w:p>
            <w:r>
              <w:rPr>
                <w:b w:val="0"/>
              </w:rPr>
              <w:t>Only needed if the same item sells in more than one unit (loose Nos and a Box of 12). Skip if it only ever sells one way — a row can be added later.</w:t>
            </w:r>
          </w:p>
        </w:tc>
      </w:tr>
    </w:tbl>
    <w:p/>
    <w:p>
      <w:pPr>
        <w:pStyle w:val="Heading1"/>
      </w:pPr>
      <w:r>
        <w:t>3. Inventory Settings</w:t>
      </w:r>
    </w:p>
    <w:p>
      <w:r>
        <w:rPr>
          <w:b w:val="0"/>
          <w:i w:val="0"/>
        </w:rPr>
        <w:t>Page: Item form → Inventory tab.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Fieldname</w:t>
            </w:r>
          </w:p>
        </w:tc>
        <w:tc>
          <w:tcPr>
            <w:tcW w:type="dxa" w:w="2880"/>
          </w:tcPr>
          <w:p>
            <w:r>
              <w:rPr>
                <w:b/>
              </w:rPr>
              <w:t>Guidance</w:t>
            </w:r>
          </w:p>
        </w:tc>
      </w:tr>
      <w:tr>
        <w:tc>
          <w:tcPr>
            <w:tcW w:type="dxa" w:w="2880"/>
          </w:tcPr>
          <w:p>
            <w:r>
              <w:t>End of Life</w:t>
            </w:r>
          </w:p>
        </w:tc>
        <w:tc>
          <w:tcPr>
            <w:tcW w:type="dxa" w:w="2880"/>
          </w:tcPr>
          <w:p>
            <w:r>
              <w:t>end_of_life</w:t>
            </w:r>
          </w:p>
        </w:tc>
        <w:tc>
          <w:tcPr>
            <w:tcW w:type="dxa" w:w="2880"/>
          </w:tcPr>
          <w:p>
            <w:r>
              <w:rPr>
                <w:b w:val="0"/>
              </w:rPr>
              <w:t>Leave at the default far-future date — effectively “never expires.” Only set a real date when discontinuing the product.</w:t>
            </w:r>
          </w:p>
        </w:tc>
      </w:tr>
      <w:tr>
        <w:tc>
          <w:tcPr>
            <w:tcW w:type="dxa" w:w="2880"/>
          </w:tcPr>
          <w:p>
            <w:r>
              <w:t>Default Material Request Type</w:t>
            </w:r>
          </w:p>
        </w:tc>
        <w:tc>
          <w:tcPr>
            <w:tcW w:type="dxa" w:w="2880"/>
          </w:tcPr>
          <w:p>
            <w:r>
              <w:t>default_material_request_type</w:t>
            </w:r>
          </w:p>
        </w:tc>
        <w:tc>
          <w:tcPr>
            <w:tcW w:type="dxa" w:w="2880"/>
          </w:tcPr>
          <w:p>
            <w:r>
              <w:rPr>
                <w:b w:val="0"/>
              </w:rPr>
              <w:t>Purchase is correct for anything restocked by buying, not manufacturing or transferring.</w:t>
            </w:r>
          </w:p>
        </w:tc>
      </w:tr>
      <w:tr>
        <w:tc>
          <w:tcPr>
            <w:tcW w:type="dxa" w:w="2880"/>
          </w:tcPr>
          <w:p>
            <w:r>
              <w:t>Valuation Method</w:t>
            </w:r>
          </w:p>
        </w:tc>
        <w:tc>
          <w:tcPr>
            <w:tcW w:type="dxa" w:w="2880"/>
          </w:tcPr>
          <w:p>
            <w:r>
              <w:t>valuation_method</w:t>
            </w:r>
          </w:p>
        </w:tc>
        <w:tc>
          <w:tcPr>
            <w:tcW w:type="dxa" w:w="2880"/>
          </w:tcPr>
          <w:p>
            <w:r>
              <w:rPr>
                <w:b w:val="0"/>
              </w:rPr>
              <w:t>Inherited from the company's Stock Settings default. Only override per item for a specific costing reason — casual overrides make catalog-wide costing inconsistent.</w:t>
            </w:r>
          </w:p>
        </w:tc>
      </w:tr>
      <w:tr>
        <w:tc>
          <w:tcPr>
            <w:tcW w:type="dxa" w:w="2880"/>
          </w:tcPr>
          <w:p>
            <w:r>
              <w:t>Warranty Period</w:t>
            </w:r>
          </w:p>
        </w:tc>
        <w:tc>
          <w:tcPr>
            <w:tcW w:type="dxa" w:w="2880"/>
          </w:tcPr>
          <w:p>
            <w:r>
              <w:t>warranty_period</w:t>
            </w:r>
          </w:p>
        </w:tc>
        <w:tc>
          <w:tcPr>
            <w:tcW w:type="dxa" w:w="2880"/>
          </w:tcPr>
          <w:p>
            <w:r>
              <w:rPr>
                <w:b w:val="0"/>
              </w:rPr>
              <w:t>Leave blank unless the product carries a formal warranty (electronics, appliances).</w:t>
            </w:r>
          </w:p>
        </w:tc>
      </w:tr>
      <w:tr>
        <w:tc>
          <w:tcPr>
            <w:tcW w:type="dxa" w:w="2880"/>
          </w:tcPr>
          <w:p>
            <w:r>
              <w:t>Weight Per Unit / Weight UOM</w:t>
            </w:r>
          </w:p>
        </w:tc>
        <w:tc>
          <w:tcPr>
            <w:tcW w:type="dxa" w:w="2880"/>
          </w:tcPr>
          <w:p>
            <w:r>
              <w:t>weight_per_unit / weight_uom</w:t>
            </w:r>
          </w:p>
        </w:tc>
        <w:tc>
          <w:tcPr>
            <w:tcW w:type="dxa" w:w="2880"/>
          </w:tcPr>
          <w:p>
            <w:r>
              <w:rPr>
                <w:b w:val="0"/>
              </w:rPr>
              <w:t>Only needed for freight/carrier weight calculations on shipped goods. Skip for over-the-counter items.</w:t>
            </w:r>
          </w:p>
        </w:tc>
      </w:tr>
      <w:tr>
        <w:tc>
          <w:tcPr>
            <w:tcW w:type="dxa" w:w="2880"/>
          </w:tcPr>
          <w:p>
            <w:r>
              <w:t>Allow Negative Stock</w:t>
            </w:r>
          </w:p>
        </w:tc>
        <w:tc>
          <w:tcPr>
            <w:tcW w:type="dxa" w:w="2880"/>
          </w:tcPr>
          <w:p>
            <w:r>
              <w:t>allow_negative_stock</w:t>
            </w:r>
          </w:p>
        </w:tc>
        <w:tc>
          <w:tcPr>
            <w:tcW w:type="dxa" w:w="2880"/>
          </w:tcPr>
          <w:p>
            <w:r>
              <w:rPr>
                <w:b w:val="0"/>
              </w:rPr>
              <w:t>Leave unchecked. Overrides the store's global negative-stock rule for just this item — usually masks a stock-entry timing problem rather than solving one.</w:t>
            </w:r>
          </w:p>
        </w:tc>
      </w:tr>
      <w:tr>
        <w:tc>
          <w:tcPr>
            <w:tcW w:type="dxa" w:w="2880"/>
          </w:tcPr>
          <w:p>
            <w:r>
              <w:t>Barcodes</w:t>
            </w:r>
          </w:p>
        </w:tc>
        <w:tc>
          <w:tcPr>
            <w:tcW w:type="dxa" w:w="2880"/>
          </w:tcPr>
          <w:p>
            <w:r>
              <w:t>barcodes</w:t>
            </w:r>
          </w:p>
        </w:tc>
        <w:tc>
          <w:tcPr>
            <w:tcW w:type="dxa" w:w="2880"/>
          </w:tcPr>
          <w:p>
            <w:r>
              <w:rPr>
                <w:b w:val="0"/>
              </w:rPr>
              <w:t>Add a row, then scan the real product barcode straight into the Barcode field — more accurate than typing digits by hand. Set Barcode Type to EAN if unsure, and UOM to match this item's stock unit. A second row only if a second physical barcode exists (e.g. a case/carton code).</w:t>
            </w:r>
          </w:p>
        </w:tc>
      </w:tr>
    </w:tbl>
    <w:p/>
    <w:p>
      <w:pPr>
        <w:pStyle w:val="Heading1"/>
      </w:pPr>
      <w:r>
        <w:t>4. Serial Nos / Batches</w:t>
      </w:r>
    </w:p>
    <w:p>
      <w:r>
        <w:rPr>
          <w:b w:val="0"/>
          <w:i/>
        </w:rPr>
        <w:t>Requires “Activate Serial / Batch No for Item” in Stock Settings globally before either checkbox below does anything. Leave both unchecked for most items — both add a required pick-a-batch or pick-a-serial step to every sale and stock movement of that item, so enable only when the reason genuinely applies.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Fieldname</w:t>
            </w:r>
          </w:p>
        </w:tc>
        <w:tc>
          <w:tcPr>
            <w:tcW w:type="dxa" w:w="2880"/>
          </w:tcPr>
          <w:p>
            <w:r>
              <w:rPr>
                <w:b/>
              </w:rPr>
              <w:t>Guidance</w:t>
            </w:r>
          </w:p>
        </w:tc>
      </w:tr>
      <w:tr>
        <w:tc>
          <w:tcPr>
            <w:tcW w:type="dxa" w:w="2880"/>
          </w:tcPr>
          <w:p>
            <w:r>
              <w:t>Has Batch No</w:t>
            </w:r>
          </w:p>
        </w:tc>
        <w:tc>
          <w:tcPr>
            <w:tcW w:type="dxa" w:w="2880"/>
          </w:tcPr>
          <w:p>
            <w:r>
              <w:t>has_batch_no</w:t>
            </w:r>
          </w:p>
        </w:tc>
        <w:tc>
          <w:tcPr>
            <w:tcW w:type="dxa" w:w="2880"/>
          </w:tcPr>
          <w:p>
            <w:r>
              <w:rPr>
                <w:b w:val="0"/>
              </w:rPr>
              <w:t>For expiry-date tracking and lot traceability — food, cosmetics, supplements, anything with a “best before” date.</w:t>
            </w:r>
          </w:p>
        </w:tc>
      </w:tr>
      <w:tr>
        <w:tc>
          <w:tcPr>
            <w:tcW w:type="dxa" w:w="2880"/>
          </w:tcPr>
          <w:p>
            <w:r>
              <w:t>Has Serial No</w:t>
            </w:r>
          </w:p>
        </w:tc>
        <w:tc>
          <w:tcPr>
            <w:tcW w:type="dxa" w:w="2880"/>
          </w:tcPr>
          <w:p>
            <w:r>
              <w:t>has_serial_no</w:t>
            </w:r>
          </w:p>
        </w:tc>
        <w:tc>
          <w:tcPr>
            <w:tcW w:type="dxa" w:w="2880"/>
          </w:tcPr>
          <w:p>
            <w:r>
              <w:rPr>
                <w:b w:val="0"/>
              </w:rPr>
              <w:t>For tracking one specific physical unit — high-value electronics or appliances needing per-unit warranty/RMA history.</w:t>
            </w:r>
          </w:p>
        </w:tc>
      </w:tr>
    </w:tbl>
    <w:p/>
    <w:p>
      <w:pPr>
        <w:pStyle w:val="Heading1"/>
      </w:pPr>
      <w:r>
        <w:t>5. Accounting — Deferred Accounting</w:t>
      </w:r>
    </w:p>
    <w:p>
      <w:r>
        <w:rPr>
          <w:b w:val="0"/>
          <w:i/>
        </w:rPr>
        <w:t>Skip this section entirely for physical retail goods. A POS sale is a complete transaction the moment it happens — there is nothing to recognise gradually.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Fieldname</w:t>
            </w:r>
          </w:p>
        </w:tc>
        <w:tc>
          <w:tcPr>
            <w:tcW w:type="dxa" w:w="2880"/>
          </w:tcPr>
          <w:p>
            <w:r>
              <w:rPr>
                <w:b/>
              </w:rPr>
              <w:t>Guidance</w:t>
            </w:r>
          </w:p>
        </w:tc>
      </w:tr>
      <w:tr>
        <w:tc>
          <w:tcPr>
            <w:tcW w:type="dxa" w:w="2880"/>
          </w:tcPr>
          <w:p>
            <w:r>
              <w:t>Enable Deferred Expense</w:t>
            </w:r>
          </w:p>
        </w:tc>
        <w:tc>
          <w:tcPr>
            <w:tcW w:type="dxa" w:w="2880"/>
          </w:tcPr>
          <w:p>
            <w:r>
              <w:t>enable_deferred_expense</w:t>
            </w:r>
          </w:p>
        </w:tc>
        <w:tc>
          <w:tcPr>
            <w:tcW w:type="dxa" w:w="2880"/>
          </w:tcPr>
          <w:p>
            <w:r>
              <w:rPr>
                <w:b w:val="0"/>
              </w:rPr>
              <w:t>For costs the business pays once but benefits from over months (prepaid insurance, an annual licence). Not relevant on a sellable item.</w:t>
            </w:r>
          </w:p>
        </w:tc>
      </w:tr>
      <w:tr>
        <w:tc>
          <w:tcPr>
            <w:tcW w:type="dxa" w:w="2880"/>
          </w:tcPr>
          <w:p>
            <w:r>
              <w:t>Enable Deferred Revenue</w:t>
            </w:r>
          </w:p>
        </w:tc>
        <w:tc>
          <w:tcPr>
            <w:tcW w:type="dxa" w:w="2880"/>
          </w:tcPr>
          <w:p>
            <w:r>
              <w:t>enable_deferred_revenue</w:t>
            </w:r>
          </w:p>
        </w:tc>
        <w:tc>
          <w:tcPr>
            <w:tcW w:type="dxa" w:w="2880"/>
          </w:tcPr>
          <w:p>
            <w:r>
              <w:rPr>
                <w:b w:val="0"/>
              </w:rPr>
              <w:t>Only relevant if this specific item is a membership or subscription-style service, not a physical product.</w:t>
            </w:r>
          </w:p>
        </w:tc>
      </w:tr>
    </w:tbl>
    <w:p/>
    <w:p>
      <w:pPr>
        <w:pStyle w:val="Heading1"/>
      </w:pPr>
      <w:r>
        <w:t>6. Purchasing Tab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Fieldname</w:t>
            </w:r>
          </w:p>
        </w:tc>
        <w:tc>
          <w:tcPr>
            <w:tcW w:type="dxa" w:w="2880"/>
          </w:tcPr>
          <w:p>
            <w:r>
              <w:rPr>
                <w:b/>
              </w:rPr>
              <w:t>Guidance</w:t>
            </w:r>
          </w:p>
        </w:tc>
      </w:tr>
      <w:tr>
        <w:tc>
          <w:tcPr>
            <w:tcW w:type="dxa" w:w="2880"/>
          </w:tcPr>
          <w:p>
            <w:r>
              <w:t>Default Purchase UOM</w:t>
            </w:r>
          </w:p>
        </w:tc>
        <w:tc>
          <w:tcPr>
            <w:tcW w:type="dxa" w:w="2880"/>
          </w:tcPr>
          <w:p>
            <w:r>
              <w:t>purchase_uom</w:t>
            </w:r>
          </w:p>
        </w:tc>
        <w:tc>
          <w:tcPr>
            <w:tcW w:type="dxa" w:w="2880"/>
          </w:tcPr>
          <w:p>
            <w:r>
              <w:rPr>
                <w:b w:val="0"/>
              </w:rPr>
              <w:t>Only set if bought in a different unit than sold/stocked (buy by the case, sell by the unit). Otherwise leave blank.</w:t>
            </w:r>
          </w:p>
        </w:tc>
      </w:tr>
      <w:tr>
        <w:tc>
          <w:tcPr>
            <w:tcW w:type="dxa" w:w="2880"/>
          </w:tcPr>
          <w:p>
            <w:r>
              <w:t>Minimum Order Qty</w:t>
            </w:r>
          </w:p>
        </w:tc>
        <w:tc>
          <w:tcPr>
            <w:tcW w:type="dxa" w:w="2880"/>
          </w:tcPr>
          <w:p>
            <w:r>
              <w:t>min_order_qty</w:t>
            </w:r>
          </w:p>
        </w:tc>
        <w:tc>
          <w:tcPr>
            <w:tcW w:type="dxa" w:w="2880"/>
          </w:tcPr>
          <w:p>
            <w:r>
              <w:rPr>
                <w:b w:val="0"/>
              </w:rPr>
              <w:t>Only if the supplier enforces a minimum order. 0 otherwise.</w:t>
            </w:r>
          </w:p>
        </w:tc>
      </w:tr>
      <w:tr>
        <w:tc>
          <w:tcPr>
            <w:tcW w:type="dxa" w:w="2880"/>
          </w:tcPr>
          <w:p>
            <w:r>
              <w:t>Safety Stock / Lead Time</w:t>
            </w:r>
          </w:p>
        </w:tc>
        <w:tc>
          <w:tcPr>
            <w:tcW w:type="dxa" w:w="2880"/>
          </w:tcPr>
          <w:p>
            <w:r>
              <w:t>safety_stock / lead_time_days</w:t>
            </w:r>
          </w:p>
        </w:tc>
        <w:tc>
          <w:tcPr>
            <w:tcW w:type="dxa" w:w="2880"/>
          </w:tcPr>
          <w:p>
            <w:r>
              <w:rPr>
                <w:b w:val="0"/>
              </w:rPr>
              <w:t>Feed ERPNext's automatic reorder-level suggestion only. Leave at 0 if restocking by judgement rather than that tool.</w:t>
            </w:r>
          </w:p>
        </w:tc>
      </w:tr>
      <w:tr>
        <w:tc>
          <w:tcPr>
            <w:tcW w:type="dxa" w:w="2880"/>
          </w:tcPr>
          <w:p>
            <w:r>
              <w:t>Allow Purchase</w:t>
            </w:r>
          </w:p>
        </w:tc>
        <w:tc>
          <w:tcPr>
            <w:tcW w:type="dxa" w:w="2880"/>
          </w:tcPr>
          <w:p>
            <w:r>
              <w:t>is_purchase_item</w:t>
            </w:r>
          </w:p>
        </w:tc>
        <w:tc>
          <w:tcPr>
            <w:tcW w:type="dxa" w:w="2880"/>
          </w:tcPr>
          <w:p>
            <w:r>
              <w:rPr>
                <w:b w:val="0"/>
              </w:rPr>
              <w:t>Not checked anywhere in the app's Add Stock or Purchase Invoice item search — leaving it checked or not won't affect the POS. Tick anyway for correctness in case anyone works from the raw desk Purchase Order screen directly.</w:t>
            </w:r>
          </w:p>
        </w:tc>
      </w:tr>
      <w:tr>
        <w:tc>
          <w:tcPr>
            <w:tcW w:type="dxa" w:w="2880"/>
          </w:tcPr>
          <w:p>
            <w:r>
              <w:t>Is Customer Provided Item / Drop Ship</w:t>
            </w:r>
          </w:p>
        </w:tc>
        <w:tc>
          <w:tcPr>
            <w:tcW w:type="dxa" w:w="2880"/>
          </w:tcPr>
          <w:p>
            <w:r>
              <w:t>is_customer_provided_item / delivered_by_supplier</w:t>
            </w:r>
          </w:p>
        </w:tc>
        <w:tc>
          <w:tcPr>
            <w:tcW w:type="dxa" w:w="2880"/>
          </w:tcPr>
          <w:p>
            <w:r>
              <w:rPr>
                <w:b w:val="0"/>
              </w:rPr>
              <w:t>Neither applies to a store stocking and selling its own goods over the counter. Leave both unchecked.</w:t>
            </w:r>
          </w:p>
        </w:tc>
      </w:tr>
      <w:tr>
        <w:tc>
          <w:tcPr>
            <w:tcW w:type="dxa" w:w="2880"/>
          </w:tcPr>
          <w:p>
            <w:r>
              <w:t>Item Supplier</w:t>
            </w:r>
          </w:p>
        </w:tc>
        <w:tc>
          <w:tcPr>
            <w:tcW w:type="dxa" w:w="2880"/>
          </w:tcPr>
          <w:p>
            <w:r>
              <w:t>supplier_items</w:t>
            </w:r>
          </w:p>
        </w:tc>
        <w:tc>
          <w:tcPr>
            <w:tcW w:type="dxa" w:w="2880"/>
          </w:tcPr>
          <w:p>
            <w:r>
              <w:rPr>
                <w:b w:val="0"/>
              </w:rPr>
              <w:t>Optional — a record of the regular supplier(s) and their part number. Not required for the POS to function.</w:t>
            </w:r>
          </w:p>
        </w:tc>
      </w:tr>
    </w:tbl>
    <w:p/>
    <w:p>
      <w:pPr>
        <w:pStyle w:val="Heading1"/>
      </w:pPr>
      <w:r>
        <w:t>7. Sales Tab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Fieldname</w:t>
            </w:r>
          </w:p>
        </w:tc>
        <w:tc>
          <w:tcPr>
            <w:tcW w:type="dxa" w:w="2880"/>
          </w:tcPr>
          <w:p>
            <w:r>
              <w:rPr>
                <w:b/>
              </w:rPr>
              <w:t>Guidance</w:t>
            </w:r>
          </w:p>
        </w:tc>
      </w:tr>
      <w:tr>
        <w:tc>
          <w:tcPr>
            <w:tcW w:type="dxa" w:w="2880"/>
          </w:tcPr>
          <w:p>
            <w:r>
              <w:t>Default Sales UOM</w:t>
            </w:r>
          </w:p>
        </w:tc>
        <w:tc>
          <w:tcPr>
            <w:tcW w:type="dxa" w:w="2880"/>
          </w:tcPr>
          <w:p>
            <w:r>
              <w:t>sales_uom</w:t>
            </w:r>
          </w:p>
        </w:tc>
        <w:tc>
          <w:tcPr>
            <w:tcW w:type="dxa" w:w="2880"/>
          </w:tcPr>
          <w:p>
            <w:r>
              <w:rPr>
                <w:b w:val="0"/>
              </w:rPr>
              <w:t>Only set if sold in a different unit than stocked. Otherwise leave blank.</w:t>
            </w:r>
          </w:p>
        </w:tc>
      </w:tr>
      <w:tr>
        <w:tc>
          <w:tcPr>
            <w:tcW w:type="dxa" w:w="2880"/>
          </w:tcPr>
          <w:p>
            <w:r>
              <w:t>Grant Commission</w:t>
            </w:r>
          </w:p>
        </w:tc>
        <w:tc>
          <w:tcPr>
            <w:tcW w:type="dxa" w:w="2880"/>
          </w:tcPr>
          <w:p>
            <w:r>
              <w:t>grant_commission</w:t>
            </w:r>
          </w:p>
        </w:tc>
        <w:tc>
          <w:tcPr>
            <w:tcW w:type="dxa" w:w="2880"/>
          </w:tcPr>
          <w:p>
            <w:r>
              <w:rPr>
                <w:b w:val="0"/>
              </w:rPr>
              <w:t>Only relevant with a per-item sales-staff commission scheme. Skip for standard cashiering.</w:t>
            </w:r>
          </w:p>
        </w:tc>
      </w:tr>
      <w:tr>
        <w:tc>
          <w:tcPr>
            <w:tcW w:type="dxa" w:w="2880"/>
          </w:tcPr>
          <w:p>
            <w:r>
              <w:t>Allow Sales</w:t>
            </w:r>
          </w:p>
        </w:tc>
        <w:tc>
          <w:tcPr>
            <w:tcW w:type="dxa" w:w="2880"/>
          </w:tcPr>
          <w:p>
            <w:r>
              <w:t>is_sales_item</w:t>
            </w:r>
          </w:p>
        </w:tc>
        <w:tc>
          <w:tcPr>
            <w:tcW w:type="dxa" w:w="2880"/>
          </w:tcPr>
          <w:p>
            <w:r>
              <w:rPr>
                <w:b/>
              </w:rPr>
              <w:t>MUST CHECK. The POS item lookup filters on this directly — unchecked, the item never appears in the grid, in search, or by barcode scan. There is no workaround.</w:t>
            </w:r>
          </w:p>
        </w:tc>
      </w:tr>
      <w:tr>
        <w:tc>
          <w:tcPr>
            <w:tcW w:type="dxa" w:w="2880"/>
          </w:tcPr>
          <w:p>
            <w:r>
              <w:t>Max Discount (%)</w:t>
            </w:r>
          </w:p>
        </w:tc>
        <w:tc>
          <w:tcPr>
            <w:tcW w:type="dxa" w:w="2880"/>
          </w:tcPr>
          <w:p>
            <w:r>
              <w:t>max_discount</w:t>
            </w:r>
          </w:p>
        </w:tc>
        <w:tc>
          <w:tcPr>
            <w:tcW w:type="dxa" w:w="2880"/>
          </w:tcPr>
          <w:p>
            <w:r>
              <w:rPr>
                <w:b/>
              </w:rPr>
              <w:t>NOT CURRENTLY ENFORCED anywhere in the app — only the POS Profile's store-wide discount cap is actually checked. A number here has no effect on this item specifically today.</w:t>
            </w:r>
          </w:p>
        </w:tc>
      </w:tr>
      <w:tr>
        <w:tc>
          <w:tcPr>
            <w:tcW w:type="dxa" w:w="2880"/>
          </w:tcPr>
          <w:p>
            <w:r>
              <w:t>Customer Items</w:t>
            </w:r>
          </w:p>
        </w:tc>
        <w:tc>
          <w:tcPr>
            <w:tcW w:type="dxa" w:w="2880"/>
          </w:tcPr>
          <w:p>
            <w:r>
              <w:t>customer_items</w:t>
            </w:r>
          </w:p>
        </w:tc>
        <w:tc>
          <w:tcPr>
            <w:tcW w:type="dxa" w:w="2880"/>
          </w:tcPr>
          <w:p>
            <w:r>
              <w:rPr>
                <w:b w:val="0"/>
              </w:rPr>
              <w:t>Maps a specific customer's own reference code to this item — a B2B feature. Leave empty for walk-in retail.</w:t>
            </w:r>
          </w:p>
        </w:tc>
      </w:tr>
    </w:tbl>
    <w:p/>
    <w:p>
      <w:pPr>
        <w:pStyle w:val="Heading1"/>
      </w:pPr>
      <w:r>
        <w:t>8. After Saving</w:t>
      </w:r>
    </w:p>
    <w:p>
      <w:pPr>
        <w:pStyle w:val="ListNumber"/>
      </w:pPr>
      <w:r>
        <w:t>Bring in the item's real starting quantity through Add Stock (no supplier/bill) or a Purchase Invoice (with one) — not by hand-editing Opening Stock later.</w:t>
      </w:r>
    </w:p>
    <w:p>
      <w:pPr>
        <w:pStyle w:val="ListNumber"/>
      </w:pPr>
      <w:r>
        <w:t>Scan it once at the register to confirm the barcode resolves and the price/name display correctly before putting it on the shelf.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