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Actividad 5</w:t>
      </w:r>
    </w:p>
    <w:p>
      <w:r>
        <w:t>Preparación, entrenamiento y seguimiento de modelos de clasificación de sentimiento</w:t>
      </w:r>
    </w:p>
    <w:p>
      <w:r>
        <w:t>Informe técnico</w:t>
      </w:r>
    </w:p>
    <w:p>
      <w:r>
        <w:t>Asignatura: _________________________________________________</w:t>
      </w:r>
    </w:p>
    <w:p>
      <w:r>
        <w:t>Estudiante: ______________________________    Grupo: __________</w:t>
      </w:r>
    </w:p>
    <w:p>
      <w:r>
        <w:t>Docente: __________________________________    Institución: _____</w:t>
      </w:r>
    </w:p>
    <w:p>
      <w:r>
        <w:t>Fecha: _____________________________________________________</w:t>
      </w:r>
    </w:p>
    <w:p>
      <w:r>
        <w:t>Proyecto académico reproducible. No es un sistema de producción.</w:t>
      </w:r>
    </w:p>
    <w:p>
      <w:pPr>
        <w:pStyle w:val="Heading1"/>
      </w:pPr>
      <w:r>
        <w:t>Resumen</w:t>
      </w:r>
    </w:p>
    <w:p>
      <w:r>
        <w:t>Se preparó un conjunto de 14,640 comentarios en inglés asociados a aerolíneas, se compararon Regresión Logística y Random Forest con TF-IDF, y se registraron cuatro ejecuciones en MLflow: dos modelos bajo partición estratificada aleatoria y dos bajo evaluación agrupada por texto idéntico. La evaluación agrupada es un escenario separado y no reemplaza ni se promedia con las métricas originales.</w:t>
      </w:r>
    </w:p>
    <w:p>
      <w:pPr>
        <w:pStyle w:val="Heading1"/>
      </w:pPr>
      <w:r>
        <w:t>Objetivo y datos</w:t>
      </w:r>
    </w:p>
    <w:p>
      <w:r>
        <w:t>El objetivo es clasificar cada comentario como negative, neutral o positive usando el texto (text) y la etiqueta airline_sentiment. El dataset utilizado es Twitter US Airline Sentiment, publicado en Kaggle: https://www.kaggle.com/datasets/crowdflower/twitter-airline-sentiment/data. La página atribuye la fuente original a Crowdflower's Data for Everyone library, acredita a Figure Eight y un colaborador, y muestra licencia CC BY-NC-SA 4.0 (consulta registrada: 17-10-2026). No existe registro local de descarga ni checksum del editor; la procedencia byte a byte del CSV no puede autenticarse.</w:t>
      </w:r>
    </w:p>
    <w:p>
      <w:r>
        <w:t>El CSV original tiene 14,640 filas y 15 columnas. La preparación retuvo las dos variables del modelado, recortó espacios, normalizó las etiquetas a minúsculas y excluyó textos vacíos o etiquetas inválidas. En los datos observados no se excluyeron filas por estas dos reglas; se conservaron las repeticiones texto-etiqueta para auditoría.</w:t>
      </w:r>
    </w:p>
    <w:p>
      <w:pPr>
        <w:pStyle w:val="Heading2"/>
      </w:pPr>
      <w:r>
        <w:t>Diccionario de variables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Variable</w:t>
            </w:r>
          </w:p>
        </w:tc>
        <w:tc>
          <w:tcPr>
            <w:tcW w:type="dxa" w:w="5040"/>
          </w:tcPr>
          <w:p>
            <w:r>
              <w:t>Descripción / uso</w:t>
            </w:r>
          </w:p>
        </w:tc>
      </w:tr>
      <w:tr>
        <w:tc>
          <w:tcPr>
            <w:tcW w:type="dxa" w:w="5040"/>
            <w:vAlign w:val="center"/>
          </w:tcPr>
          <w:p>
            <w:r>
              <w:t>tweet_id</w:t>
            </w:r>
          </w:p>
        </w:tc>
        <w:tc>
          <w:tcPr>
            <w:tcW w:type="dxa" w:w="5040"/>
            <w:vAlign w:val="center"/>
          </w:tcPr>
          <w:p>
            <w:r>
              <w:t>Identificador del tuit; no se utiliza en el modelo.</w:t>
            </w:r>
          </w:p>
        </w:tc>
      </w:tr>
      <w:tr>
        <w:tc>
          <w:tcPr>
            <w:tcW w:type="dxa" w:w="5040"/>
            <w:vAlign w:val="center"/>
          </w:tcPr>
          <w:p>
            <w:r>
              <w:t>airline_sentiment</w:t>
            </w:r>
          </w:p>
        </w:tc>
        <w:tc>
          <w:tcPr>
            <w:tcW w:type="dxa" w:w="5040"/>
            <w:vAlign w:val="center"/>
          </w:tcPr>
          <w:p>
            <w:r>
              <w:t>Etiqueta objetivo: negative, neutral o positive.</w:t>
            </w:r>
          </w:p>
        </w:tc>
      </w:tr>
      <w:tr>
        <w:tc>
          <w:tcPr>
            <w:tcW w:type="dxa" w:w="5040"/>
            <w:vAlign w:val="center"/>
          </w:tcPr>
          <w:p>
            <w:r>
              <w:t>airline_sentiment_confidence</w:t>
            </w:r>
          </w:p>
        </w:tc>
        <w:tc>
          <w:tcPr>
            <w:tcW w:type="dxa" w:w="5040"/>
            <w:vAlign w:val="center"/>
          </w:tcPr>
          <w:p>
            <w:r>
              <w:t>Confianza de la anotación; excluida del modelo.</w:t>
            </w:r>
          </w:p>
        </w:tc>
      </w:tr>
      <w:tr>
        <w:tc>
          <w:tcPr>
            <w:tcW w:type="dxa" w:w="5040"/>
            <w:vAlign w:val="center"/>
          </w:tcPr>
          <w:p>
            <w:r>
              <w:t>negativereason</w:t>
            </w:r>
          </w:p>
        </w:tc>
        <w:tc>
          <w:tcPr>
            <w:tcW w:type="dxa" w:w="5040"/>
            <w:vAlign w:val="center"/>
          </w:tcPr>
          <w:p>
            <w:r>
              <w:t>Motivo anotado para sentimiento negativo; excluido.</w:t>
            </w:r>
          </w:p>
        </w:tc>
      </w:tr>
      <w:tr>
        <w:tc>
          <w:tcPr>
            <w:tcW w:type="dxa" w:w="5040"/>
            <w:vAlign w:val="center"/>
          </w:tcPr>
          <w:p>
            <w:r>
              <w:t>negativereason_confidence</w:t>
            </w:r>
          </w:p>
        </w:tc>
        <w:tc>
          <w:tcPr>
            <w:tcW w:type="dxa" w:w="5040"/>
            <w:vAlign w:val="center"/>
          </w:tcPr>
          <w:p>
            <w:r>
              <w:t>Confianza del motivo negativo; excluida.</w:t>
            </w:r>
          </w:p>
        </w:tc>
      </w:tr>
      <w:tr>
        <w:tc>
          <w:tcPr>
            <w:tcW w:type="dxa" w:w="5040"/>
            <w:vAlign w:val="center"/>
          </w:tcPr>
          <w:p>
            <w:r>
              <w:t>airline</w:t>
            </w:r>
          </w:p>
        </w:tc>
        <w:tc>
          <w:tcPr>
            <w:tcW w:type="dxa" w:w="5040"/>
            <w:vAlign w:val="center"/>
          </w:tcPr>
          <w:p>
            <w:r>
              <w:t>Aerolínea mencionada; excluida del modelo.</w:t>
            </w:r>
          </w:p>
        </w:tc>
      </w:tr>
      <w:tr>
        <w:tc>
          <w:tcPr>
            <w:tcW w:type="dxa" w:w="5040"/>
            <w:vAlign w:val="center"/>
          </w:tcPr>
          <w:p>
            <w:r>
              <w:t>airline_sentiment_gold</w:t>
            </w:r>
          </w:p>
        </w:tc>
        <w:tc>
          <w:tcPr>
            <w:tcW w:type="dxa" w:w="5040"/>
            <w:vAlign w:val="center"/>
          </w:tcPr>
          <w:p>
            <w:r>
              <w:t>Etiqueta suplementaria de referencia; excluida.</w:t>
            </w:r>
          </w:p>
        </w:tc>
      </w:tr>
      <w:tr>
        <w:tc>
          <w:tcPr>
            <w:tcW w:type="dxa" w:w="5040"/>
            <w:vAlign w:val="center"/>
          </w:tcPr>
          <w:p>
            <w:r>
              <w:t>name</w:t>
            </w:r>
          </w:p>
        </w:tc>
        <w:tc>
          <w:tcPr>
            <w:tcW w:type="dxa" w:w="5040"/>
            <w:vAlign w:val="center"/>
          </w:tcPr>
          <w:p>
            <w:r>
              <w:t>Nombre de cuenta; dato potencialmente identificable, excluido.</w:t>
            </w:r>
          </w:p>
        </w:tc>
      </w:tr>
      <w:tr>
        <w:tc>
          <w:tcPr>
            <w:tcW w:type="dxa" w:w="5040"/>
            <w:vAlign w:val="center"/>
          </w:tcPr>
          <w:p>
            <w:r>
              <w:t>negativereason_gold</w:t>
            </w:r>
          </w:p>
        </w:tc>
        <w:tc>
          <w:tcPr>
            <w:tcW w:type="dxa" w:w="5040"/>
            <w:vAlign w:val="center"/>
          </w:tcPr>
          <w:p>
            <w:r>
              <w:t>Motivo suplementario de referencia; excluido.</w:t>
            </w:r>
          </w:p>
        </w:tc>
      </w:tr>
      <w:tr>
        <w:tc>
          <w:tcPr>
            <w:tcW w:type="dxa" w:w="5040"/>
            <w:vAlign w:val="center"/>
          </w:tcPr>
          <w:p>
            <w:r>
              <w:t>retweet_count</w:t>
            </w:r>
          </w:p>
        </w:tc>
        <w:tc>
          <w:tcPr>
            <w:tcW w:type="dxa" w:w="5040"/>
            <w:vAlign w:val="center"/>
          </w:tcPr>
          <w:p>
            <w:r>
              <w:t>Conteo de retuits; excluido.</w:t>
            </w:r>
          </w:p>
        </w:tc>
      </w:tr>
      <w:tr>
        <w:tc>
          <w:tcPr>
            <w:tcW w:type="dxa" w:w="5040"/>
            <w:vAlign w:val="center"/>
          </w:tcPr>
          <w:p>
            <w:r>
              <w:t>text</w:t>
            </w:r>
          </w:p>
        </w:tc>
        <w:tc>
          <w:tcPr>
            <w:tcW w:type="dxa" w:w="5040"/>
            <w:vAlign w:val="center"/>
          </w:tcPr>
          <w:p>
            <w:r>
              <w:t>Texto del comentario; única entrada del clasificador.</w:t>
            </w:r>
          </w:p>
        </w:tc>
      </w:tr>
      <w:tr>
        <w:tc>
          <w:tcPr>
            <w:tcW w:type="dxa" w:w="5040"/>
            <w:vAlign w:val="center"/>
          </w:tcPr>
          <w:p>
            <w:r>
              <w:t>tweet_coord</w:t>
            </w:r>
          </w:p>
        </w:tc>
        <w:tc>
          <w:tcPr>
            <w:tcW w:type="dxa" w:w="5040"/>
            <w:vAlign w:val="center"/>
          </w:tcPr>
          <w:p>
            <w:r>
              <w:t>Coordenadas declaradas; excluidas.</w:t>
            </w:r>
          </w:p>
        </w:tc>
      </w:tr>
      <w:tr>
        <w:tc>
          <w:tcPr>
            <w:tcW w:type="dxa" w:w="5040"/>
            <w:vAlign w:val="center"/>
          </w:tcPr>
          <w:p>
            <w:r>
              <w:t>tweet_created</w:t>
            </w:r>
          </w:p>
        </w:tc>
        <w:tc>
          <w:tcPr>
            <w:tcW w:type="dxa" w:w="5040"/>
            <w:vAlign w:val="center"/>
          </w:tcPr>
          <w:p>
            <w:r>
              <w:t>Fecha del tuit; excluida.</w:t>
            </w:r>
          </w:p>
        </w:tc>
      </w:tr>
      <w:tr>
        <w:tc>
          <w:tcPr>
            <w:tcW w:type="dxa" w:w="5040"/>
            <w:vAlign w:val="center"/>
          </w:tcPr>
          <w:p>
            <w:r>
              <w:t>tweet_location</w:t>
            </w:r>
          </w:p>
        </w:tc>
        <w:tc>
          <w:tcPr>
            <w:tcW w:type="dxa" w:w="5040"/>
            <w:vAlign w:val="center"/>
          </w:tcPr>
          <w:p>
            <w:r>
              <w:t>Ubicación declarada; excluida.</w:t>
            </w:r>
          </w:p>
        </w:tc>
      </w:tr>
      <w:tr>
        <w:tc>
          <w:tcPr>
            <w:tcW w:type="dxa" w:w="5040"/>
            <w:vAlign w:val="center"/>
          </w:tcPr>
          <w:p>
            <w:r>
              <w:t>user_timezone</w:t>
            </w:r>
          </w:p>
        </w:tc>
        <w:tc>
          <w:tcPr>
            <w:tcW w:type="dxa" w:w="5040"/>
            <w:vAlign w:val="center"/>
          </w:tcPr>
          <w:p>
            <w:r>
              <w:t>Zona horaria declarada; excluida.</w:t>
            </w:r>
          </w:p>
        </w:tc>
      </w:tr>
    </w:tbl>
    <w:p>
      <w:pPr>
        <w:pStyle w:val="Heading2"/>
      </w:pPr>
      <w:r>
        <w:t>Exploración y calidad de los datos</w:t>
      </w:r>
    </w:p>
    <w:p>
      <w:r>
        <w:t>La fuente contiene valores ausentes en campos que no se conservaron: negativereason (5462), negativereason_confidence (4118), airline_sentiment_gold (14600), negativereason_gold (14608), tweet_coord (13621), tweet_location (4733) y user_timezone (4820). En las columnas usadas quedaron 0 nulos/vacíos en text y 0 en airline_sentiment. Se registraron 36 filas completas duplicadas en el origen y 188 repeticiones texto-etiqueta; no se eliminaron.</w:t>
      </w:r>
    </w:p>
    <w:p>
      <w:pPr>
        <w:pStyle w:val="Heading2"/>
      </w:pPr>
      <w:r>
        <w:t>Distribución de clases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Etiqueta</w:t>
            </w:r>
          </w:p>
        </w:tc>
        <w:tc>
          <w:tcPr>
            <w:tcW w:type="dxa" w:w="3360"/>
          </w:tcPr>
          <w:p>
            <w:r>
              <w:t>Registros</w:t>
            </w:r>
          </w:p>
        </w:tc>
        <w:tc>
          <w:tcPr>
            <w:tcW w:type="dxa" w:w="3360"/>
          </w:tcPr>
          <w:p>
            <w:r>
              <w:t>Porcentaje</w:t>
            </w:r>
          </w:p>
        </w:tc>
      </w:tr>
      <w:tr>
        <w:tc>
          <w:tcPr>
            <w:tcW w:type="dxa" w:w="3360"/>
            <w:vAlign w:val="center"/>
          </w:tcPr>
          <w:p>
            <w:r>
              <w:t>negative</w:t>
            </w:r>
          </w:p>
        </w:tc>
        <w:tc>
          <w:tcPr>
            <w:tcW w:type="dxa" w:w="3360"/>
            <w:vAlign w:val="center"/>
          </w:tcPr>
          <w:p>
            <w:r>
              <w:t>9178</w:t>
            </w:r>
          </w:p>
        </w:tc>
        <w:tc>
          <w:tcPr>
            <w:tcW w:type="dxa" w:w="3360"/>
            <w:vAlign w:val="center"/>
          </w:tcPr>
          <w:p>
            <w:r>
              <w:t>62.69%</w:t>
            </w:r>
          </w:p>
        </w:tc>
      </w:tr>
      <w:tr>
        <w:tc>
          <w:tcPr>
            <w:tcW w:type="dxa" w:w="3360"/>
            <w:vAlign w:val="center"/>
          </w:tcPr>
          <w:p>
            <w:r>
              <w:t>neutral</w:t>
            </w:r>
          </w:p>
        </w:tc>
        <w:tc>
          <w:tcPr>
            <w:tcW w:type="dxa" w:w="3360"/>
            <w:vAlign w:val="center"/>
          </w:tcPr>
          <w:p>
            <w:r>
              <w:t>3099</w:t>
            </w:r>
          </w:p>
        </w:tc>
        <w:tc>
          <w:tcPr>
            <w:tcW w:type="dxa" w:w="3360"/>
            <w:vAlign w:val="center"/>
          </w:tcPr>
          <w:p>
            <w:r>
              <w:t>21.17%</w:t>
            </w:r>
          </w:p>
        </w:tc>
      </w:tr>
      <w:tr>
        <w:tc>
          <w:tcPr>
            <w:tcW w:type="dxa" w:w="3360"/>
            <w:vAlign w:val="center"/>
          </w:tcPr>
          <w:p>
            <w:r>
              <w:t>positive</w:t>
            </w:r>
          </w:p>
        </w:tc>
        <w:tc>
          <w:tcPr>
            <w:tcW w:type="dxa" w:w="3360"/>
            <w:vAlign w:val="center"/>
          </w:tcPr>
          <w:p>
            <w:r>
              <w:t>2363</w:t>
            </w:r>
          </w:p>
        </w:tc>
        <w:tc>
          <w:tcPr>
            <w:tcW w:type="dxa" w:w="3360"/>
            <w:vAlign w:val="center"/>
          </w:tcPr>
          <w:p>
            <w:r>
              <w:t>16.14%</w:t>
            </w:r>
          </w:p>
        </w:tc>
      </w:tr>
    </w:tbl>
    <w:p>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distribucion_clases_reporte.png"/>
                    <pic:cNvPicPr/>
                  </pic:nvPicPr>
                  <pic:blipFill>
                    <a:blip r:embed="rId9"/>
                    <a:stretch>
                      <a:fillRect/>
                    </a:stretch>
                  </pic:blipFill>
                  <pic:spPr>
                    <a:xfrm>
                      <a:off x="0" y="0"/>
                      <a:ext cx="5669280" cy="3023616"/>
                    </a:xfrm>
                    <a:prstGeom prst="rect"/>
                  </pic:spPr>
                </pic:pic>
              </a:graphicData>
            </a:graphic>
          </wp:inline>
        </w:drawing>
      </w:r>
    </w:p>
    <w:p>
      <w:pPr>
        <w:pStyle w:val="Caption"/>
      </w:pPr>
      <w:r>
        <w:t>Figura. Distribución de las clases en el dataset limpio.</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Artefacto</w:t>
            </w:r>
          </w:p>
        </w:tc>
        <w:tc>
          <w:tcPr>
            <w:tcW w:type="dxa" w:w="3360"/>
          </w:tcPr>
          <w:p>
            <w:r>
              <w:t>Filas</w:t>
            </w:r>
          </w:p>
        </w:tc>
        <w:tc>
          <w:tcPr>
            <w:tcW w:type="dxa" w:w="3360"/>
          </w:tcPr>
          <w:p>
            <w:r>
              <w:t>SHA-256</w:t>
            </w:r>
          </w:p>
        </w:tc>
      </w:tr>
      <w:tr>
        <w:tc>
          <w:tcPr>
            <w:tcW w:type="dxa" w:w="3360"/>
            <w:vAlign w:val="center"/>
          </w:tcPr>
          <w:p>
            <w:r>
              <w:t>CSV de origen local</w:t>
            </w:r>
          </w:p>
        </w:tc>
        <w:tc>
          <w:tcPr>
            <w:tcW w:type="dxa" w:w="3360"/>
            <w:vAlign w:val="center"/>
          </w:tcPr>
          <w:p>
            <w:r>
              <w:t>14640</w:t>
            </w:r>
          </w:p>
        </w:tc>
        <w:tc>
          <w:tcPr>
            <w:tcW w:type="dxa" w:w="3360"/>
            <w:vAlign w:val="center"/>
          </w:tcPr>
          <w:p>
            <w:r>
              <w:t>ea94b23f41892b290dec3330bb8cf9cb6b8bc669eaae5f3a84c40f7b0de8f15e</w:t>
            </w:r>
          </w:p>
        </w:tc>
      </w:tr>
      <w:tr>
        <w:tc>
          <w:tcPr>
            <w:tcW w:type="dxa" w:w="3360"/>
            <w:vAlign w:val="center"/>
          </w:tcPr>
          <w:p>
            <w:r>
              <w:t>CSV limpio</w:t>
            </w:r>
          </w:p>
        </w:tc>
        <w:tc>
          <w:tcPr>
            <w:tcW w:type="dxa" w:w="3360"/>
            <w:vAlign w:val="center"/>
          </w:tcPr>
          <w:p>
            <w:r>
              <w:t>14640</w:t>
            </w:r>
          </w:p>
        </w:tc>
        <w:tc>
          <w:tcPr>
            <w:tcW w:type="dxa" w:w="3360"/>
            <w:vAlign w:val="center"/>
          </w:tcPr>
          <w:p>
            <w:r>
              <w:t>82539f706fdafc80f93dec7ae1cfc2310c179952f41548ed5c3ddf36effd67dd</w:t>
            </w:r>
          </w:p>
        </w:tc>
      </w:tr>
    </w:tbl>
    <w:p>
      <w:pPr>
        <w:pStyle w:val="Heading1"/>
      </w:pPr>
      <w:r>
        <w:t>Método y control de evaluación</w:t>
      </w:r>
    </w:p>
    <w:p>
      <w:r>
        <w:t>El escenario original utiliza partición estratificada 80/20 con semilla 42 (11,712 entrenamiento y 2,928 prueba). GridSearchCV seleccionó por F1 macro con cinco folds estratificados. La transformación TF-IDF forma parte del pipeline y se ajusta dentro de cada fold únicamente con sus datos de entrenamiento. El conjunto de prueba no se usa para seleccionar hiperparámetros.</w:t>
      </w:r>
    </w:p>
    <w:p>
      <w:r>
        <w:t>La auditoría encontró 71 textos únicos compartidos entre entrenamiento y prueba: 60 con etiqueta consistente en esos conjuntos y 11 con etiquetas distintas. En todo el dataset existen 25 grupos de texto con etiquetas conflictivas. Como evaluación adicional se usó StratifiedGroupKFold (5 folds, semilla 42), reservando el primer fold para prueba y agrupando también la validación interna. En este protocolo no hubo solapamiento de textos idénticos entre entrenamiento y prueba.</w:t>
      </w:r>
    </w:p>
    <w:p>
      <w:pPr>
        <w:pStyle w:val="Heading2"/>
      </w:pPr>
      <w:r>
        <w:t>Modelos y búsqueda de hiperparámetros</w:t>
      </w:r>
    </w:p>
    <w:p>
      <w:r>
        <w:t>Regresión Logística es un clasificador lineal multinomial aplicado a los vectores dispersos TF-IDF. Random Forest combina árboles de decisión construidos sobre subconjuntos de variables y observaciones; se evaluó sobre una representación TF-IDF limitada en vocabulario.</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tcPr>
          <w:p>
            <w:r>
              <w:t>Protocolo</w:t>
            </w:r>
          </w:p>
        </w:tc>
        <w:tc>
          <w:tcPr>
            <w:tcW w:type="dxa" w:w="2016"/>
          </w:tcPr>
          <w:p>
            <w:r>
              <w:t>Modelo</w:t>
            </w:r>
          </w:p>
        </w:tc>
        <w:tc>
          <w:tcPr>
            <w:tcW w:type="dxa" w:w="2016"/>
          </w:tcPr>
          <w:p>
            <w:r>
              <w:t>Mejores parámetros</w:t>
            </w:r>
          </w:p>
        </w:tc>
        <w:tc>
          <w:tcPr>
            <w:tcW w:type="dxa" w:w="2016"/>
          </w:tcPr>
          <w:p>
            <w:r>
              <w:t>F1 macro CV</w:t>
            </w:r>
          </w:p>
        </w:tc>
        <w:tc>
          <w:tcPr>
            <w:tcW w:type="dxa" w:w="2016"/>
          </w:tcPr>
          <w:p>
            <w:r>
              <w:t>Búsqueda (tiempo)</w:t>
            </w:r>
          </w:p>
        </w:tc>
      </w:tr>
      <w:tr>
        <w:tc>
          <w:tcPr>
            <w:tcW w:type="dxa" w:w="2016"/>
            <w:vAlign w:val="center"/>
          </w:tcPr>
          <w:p>
            <w:r>
              <w:t>Original</w:t>
            </w:r>
          </w:p>
        </w:tc>
        <w:tc>
          <w:tcPr>
            <w:tcW w:type="dxa" w:w="2016"/>
            <w:vAlign w:val="center"/>
          </w:tcPr>
          <w:p>
            <w:r>
              <w:t>logistic_regression</w:t>
            </w:r>
          </w:p>
        </w:tc>
        <w:tc>
          <w:tcPr>
            <w:tcW w:type="dxa" w:w="2016"/>
            <w:vAlign w:val="center"/>
          </w:tcPr>
          <w:p>
            <w:r>
              <w:t>{"classifier__C": 3.0, "tfidf__ngram_range": [1, 2]}</w:t>
            </w:r>
          </w:p>
        </w:tc>
        <w:tc>
          <w:tcPr>
            <w:tcW w:type="dxa" w:w="2016"/>
            <w:vAlign w:val="center"/>
          </w:tcPr>
          <w:p>
            <w:r>
              <w:t>0.7438 ± 0.0099</w:t>
            </w:r>
          </w:p>
        </w:tc>
        <w:tc>
          <w:tcPr>
            <w:tcW w:type="dxa" w:w="2016"/>
            <w:vAlign w:val="center"/>
          </w:tcPr>
          <w:p>
            <w:r>
              <w:t>22.284 s</w:t>
            </w:r>
          </w:p>
        </w:tc>
      </w:tr>
      <w:tr>
        <w:tc>
          <w:tcPr>
            <w:tcW w:type="dxa" w:w="2016"/>
            <w:vAlign w:val="center"/>
          </w:tcPr>
          <w:p>
            <w:r>
              <w:t>Original</w:t>
            </w:r>
          </w:p>
        </w:tc>
        <w:tc>
          <w:tcPr>
            <w:tcW w:type="dxa" w:w="2016"/>
            <w:vAlign w:val="center"/>
          </w:tcPr>
          <w:p>
            <w:r>
              <w:t>random_forest</w:t>
            </w:r>
          </w:p>
        </w:tc>
        <w:tc>
          <w:tcPr>
            <w:tcW w:type="dxa" w:w="2016"/>
            <w:vAlign w:val="center"/>
          </w:tcPr>
          <w:p>
            <w:r>
              <w:t>{"classifier__max_depth": 30, "classifier__max_features": "sqrt", "classifier__min_samples_leaf": 3, "classifier__n_estimators": 60, "tfidf__max_features": 10000}</w:t>
            </w:r>
          </w:p>
        </w:tc>
        <w:tc>
          <w:tcPr>
            <w:tcW w:type="dxa" w:w="2016"/>
            <w:vAlign w:val="center"/>
          </w:tcPr>
          <w:p>
            <w:r>
              <w:t>0.6879 ± 0.0061</w:t>
            </w:r>
          </w:p>
        </w:tc>
        <w:tc>
          <w:tcPr>
            <w:tcW w:type="dxa" w:w="2016"/>
            <w:vAlign w:val="center"/>
          </w:tcPr>
          <w:p>
            <w:r>
              <w:t>18.915 s</w:t>
            </w:r>
          </w:p>
        </w:tc>
      </w:tr>
      <w:tr>
        <w:tc>
          <w:tcPr>
            <w:tcW w:type="dxa" w:w="2016"/>
            <w:vAlign w:val="center"/>
          </w:tcPr>
          <w:p>
            <w:r>
              <w:t>Agrupada</w:t>
            </w:r>
          </w:p>
        </w:tc>
        <w:tc>
          <w:tcPr>
            <w:tcW w:type="dxa" w:w="2016"/>
            <w:vAlign w:val="center"/>
          </w:tcPr>
          <w:p>
            <w:r>
              <w:t>logistic_regression</w:t>
            </w:r>
          </w:p>
        </w:tc>
        <w:tc>
          <w:tcPr>
            <w:tcW w:type="dxa" w:w="2016"/>
            <w:vAlign w:val="center"/>
          </w:tcPr>
          <w:p>
            <w:r>
              <w:t>{"classifier__C": 1.0, "tfidf__ngram_range": [1, 2]}</w:t>
            </w:r>
          </w:p>
        </w:tc>
        <w:tc>
          <w:tcPr>
            <w:tcW w:type="dxa" w:w="2016"/>
            <w:vAlign w:val="center"/>
          </w:tcPr>
          <w:p>
            <w:r>
              <w:t>0.7434 ± 0.0079</w:t>
            </w:r>
          </w:p>
        </w:tc>
        <w:tc>
          <w:tcPr>
            <w:tcW w:type="dxa" w:w="2016"/>
            <w:vAlign w:val="center"/>
          </w:tcPr>
          <w:p>
            <w:r>
              <w:t>27.620 s</w:t>
            </w:r>
          </w:p>
        </w:tc>
      </w:tr>
      <w:tr>
        <w:tc>
          <w:tcPr>
            <w:tcW w:type="dxa" w:w="2016"/>
            <w:vAlign w:val="center"/>
          </w:tcPr>
          <w:p>
            <w:r>
              <w:t>Agrupada</w:t>
            </w:r>
          </w:p>
        </w:tc>
        <w:tc>
          <w:tcPr>
            <w:tcW w:type="dxa" w:w="2016"/>
            <w:vAlign w:val="center"/>
          </w:tcPr>
          <w:p>
            <w:r>
              <w:t>random_forest</w:t>
            </w:r>
          </w:p>
        </w:tc>
        <w:tc>
          <w:tcPr>
            <w:tcW w:type="dxa" w:w="2016"/>
            <w:vAlign w:val="center"/>
          </w:tcPr>
          <w:p>
            <w:r>
              <w:t>{"classifier__max_depth": 30, "classifier__max_features": "sqrt", "classifier__min_samples_leaf": 3, "classifier__n_estimators": 60, "tfidf__max_features": 10000}</w:t>
            </w:r>
          </w:p>
        </w:tc>
        <w:tc>
          <w:tcPr>
            <w:tcW w:type="dxa" w:w="2016"/>
            <w:vAlign w:val="center"/>
          </w:tcPr>
          <w:p>
            <w:r>
              <w:t>0.6820 ± 0.0169</w:t>
            </w:r>
          </w:p>
        </w:tc>
        <w:tc>
          <w:tcPr>
            <w:tcW w:type="dxa" w:w="2016"/>
            <w:vAlign w:val="center"/>
          </w:tcPr>
          <w:p>
            <w:r>
              <w:t>22.278 s</w:t>
            </w:r>
          </w:p>
        </w:tc>
      </w:tr>
    </w:tbl>
    <w:p>
      <w:r>
        <w:t>La búsqueda comparó cuatro candidatos por modelo y escenario. En el protocolo original el criterio de selección fue F1 macro. Las métricas de prueba se calcularon después de seleccionar los parámetros; no se usaron para ajustarlos. Los tiempos corresponden a GridSearchCV registrado en los artefactos de cada escenario.</w:t>
      </w:r>
    </w:p>
    <w:p>
      <w:pPr>
        <w:pStyle w:val="Heading1"/>
      </w:pPr>
      <w:r>
        <w:t>Resultados</w:t>
      </w:r>
    </w:p>
    <w:tbl>
      <w:tblPr>
        <w:tblStyle w:val="LightShading-Accent1"/>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Escenario</w:t>
            </w:r>
          </w:p>
        </w:tc>
        <w:tc>
          <w:tcPr>
            <w:tcW w:type="dxa" w:w="1120"/>
          </w:tcPr>
          <w:p>
            <w:r>
              <w:t>Modelo</w:t>
            </w:r>
          </w:p>
        </w:tc>
        <w:tc>
          <w:tcPr>
            <w:tcW w:type="dxa" w:w="1120"/>
          </w:tcPr>
          <w:p>
            <w:r>
              <w:t>Accuracy</w:t>
            </w:r>
          </w:p>
        </w:tc>
        <w:tc>
          <w:tcPr>
            <w:tcW w:type="dxa" w:w="1120"/>
          </w:tcPr>
          <w:p>
            <w:r>
              <w:t>Prec. macro</w:t>
            </w:r>
          </w:p>
        </w:tc>
        <w:tc>
          <w:tcPr>
            <w:tcW w:type="dxa" w:w="1120"/>
          </w:tcPr>
          <w:p>
            <w:r>
              <w:t>Recall macro</w:t>
            </w:r>
          </w:p>
        </w:tc>
        <w:tc>
          <w:tcPr>
            <w:tcW w:type="dxa" w:w="1120"/>
          </w:tcPr>
          <w:p>
            <w:r>
              <w:t>F1 macro</w:t>
            </w:r>
          </w:p>
        </w:tc>
        <w:tc>
          <w:tcPr>
            <w:tcW w:type="dxa" w:w="1120"/>
          </w:tcPr>
          <w:p>
            <w:r>
              <w:t>F1 ponderado</w:t>
            </w:r>
          </w:p>
        </w:tc>
        <w:tc>
          <w:tcPr>
            <w:tcW w:type="dxa" w:w="1120"/>
          </w:tcPr>
          <w:p>
            <w:r>
              <w:t>ROC-AUC OVR</w:t>
            </w:r>
          </w:p>
        </w:tc>
        <w:tc>
          <w:tcPr>
            <w:tcW w:type="dxa" w:w="1120"/>
          </w:tcPr>
          <w:p>
            <w:r>
              <w:t>F1 CV media ± DE</w:t>
            </w:r>
          </w:p>
        </w:tc>
      </w:tr>
      <w:tr>
        <w:tc>
          <w:tcPr>
            <w:tcW w:type="dxa" w:w="1120"/>
            <w:vAlign w:val="center"/>
          </w:tcPr>
          <w:p>
            <w:r>
              <w:t>Original estratificada</w:t>
            </w:r>
          </w:p>
        </w:tc>
        <w:tc>
          <w:tcPr>
            <w:tcW w:type="dxa" w:w="1120"/>
            <w:vAlign w:val="center"/>
          </w:tcPr>
          <w:p>
            <w:r>
              <w:t>Regresión Logística</w:t>
            </w:r>
          </w:p>
        </w:tc>
        <w:tc>
          <w:tcPr>
            <w:tcW w:type="dxa" w:w="1120"/>
            <w:vAlign w:val="center"/>
          </w:tcPr>
          <w:p>
            <w:r>
              <w:t>0.7982</w:t>
            </w:r>
          </w:p>
        </w:tc>
        <w:tc>
          <w:tcPr>
            <w:tcW w:type="dxa" w:w="1120"/>
            <w:vAlign w:val="center"/>
          </w:tcPr>
          <w:p>
            <w:r>
              <w:t>0.7444</w:t>
            </w:r>
          </w:p>
        </w:tc>
        <w:tc>
          <w:tcPr>
            <w:tcW w:type="dxa" w:w="1120"/>
            <w:vAlign w:val="center"/>
          </w:tcPr>
          <w:p>
            <w:r>
              <w:t>0.7504</w:t>
            </w:r>
          </w:p>
        </w:tc>
        <w:tc>
          <w:tcPr>
            <w:tcW w:type="dxa" w:w="1120"/>
            <w:vAlign w:val="center"/>
          </w:tcPr>
          <w:p>
            <w:r>
              <w:t>0.7457</w:t>
            </w:r>
          </w:p>
        </w:tc>
        <w:tc>
          <w:tcPr>
            <w:tcW w:type="dxa" w:w="1120"/>
            <w:vAlign w:val="center"/>
          </w:tcPr>
          <w:p>
            <w:r>
              <w:t>0.8013</w:t>
            </w:r>
          </w:p>
        </w:tc>
        <w:tc>
          <w:tcPr>
            <w:tcW w:type="dxa" w:w="1120"/>
            <w:vAlign w:val="center"/>
          </w:tcPr>
          <w:p>
            <w:r>
              <w:t>0.9110</w:t>
            </w:r>
          </w:p>
        </w:tc>
        <w:tc>
          <w:tcPr>
            <w:tcW w:type="dxa" w:w="1120"/>
            <w:vAlign w:val="center"/>
          </w:tcPr>
          <w:p>
            <w:r>
              <w:t>0.7438 ± 0.0099</w:t>
            </w:r>
          </w:p>
        </w:tc>
      </w:tr>
      <w:tr>
        <w:tc>
          <w:tcPr>
            <w:tcW w:type="dxa" w:w="1120"/>
            <w:vAlign w:val="center"/>
          </w:tcPr>
          <w:p>
            <w:r>
              <w:t>Original estratificada</w:t>
            </w:r>
          </w:p>
        </w:tc>
        <w:tc>
          <w:tcPr>
            <w:tcW w:type="dxa" w:w="1120"/>
            <w:vAlign w:val="center"/>
          </w:tcPr>
          <w:p>
            <w:r>
              <w:t>Random Forest</w:t>
            </w:r>
          </w:p>
        </w:tc>
        <w:tc>
          <w:tcPr>
            <w:tcW w:type="dxa" w:w="1120"/>
            <w:vAlign w:val="center"/>
          </w:tcPr>
          <w:p>
            <w:r>
              <w:t>0.7278</w:t>
            </w:r>
          </w:p>
        </w:tc>
        <w:tc>
          <w:tcPr>
            <w:tcW w:type="dxa" w:w="1120"/>
            <w:vAlign w:val="center"/>
          </w:tcPr>
          <w:p>
            <w:r>
              <w:t>0.6606</w:t>
            </w:r>
          </w:p>
        </w:tc>
        <w:tc>
          <w:tcPr>
            <w:tcW w:type="dxa" w:w="1120"/>
            <w:vAlign w:val="center"/>
          </w:tcPr>
          <w:p>
            <w:r>
              <w:t>0.6742</w:t>
            </w:r>
          </w:p>
        </w:tc>
        <w:tc>
          <w:tcPr>
            <w:tcW w:type="dxa" w:w="1120"/>
            <w:vAlign w:val="center"/>
          </w:tcPr>
          <w:p>
            <w:r>
              <w:t>0.6658</w:t>
            </w:r>
          </w:p>
        </w:tc>
        <w:tc>
          <w:tcPr>
            <w:tcW w:type="dxa" w:w="1120"/>
            <w:vAlign w:val="center"/>
          </w:tcPr>
          <w:p>
            <w:r>
              <w:t>0.7330</w:t>
            </w:r>
          </w:p>
        </w:tc>
        <w:tc>
          <w:tcPr>
            <w:tcW w:type="dxa" w:w="1120"/>
            <w:vAlign w:val="center"/>
          </w:tcPr>
          <w:p>
            <w:r>
              <w:t>0.8640</w:t>
            </w:r>
          </w:p>
        </w:tc>
        <w:tc>
          <w:tcPr>
            <w:tcW w:type="dxa" w:w="1120"/>
            <w:vAlign w:val="center"/>
          </w:tcPr>
          <w:p>
            <w:r>
              <w:t>0.6879 ± 0.0061</w:t>
            </w:r>
          </w:p>
        </w:tc>
      </w:tr>
      <w:tr>
        <w:tc>
          <w:tcPr>
            <w:tcW w:type="dxa" w:w="1120"/>
            <w:vAlign w:val="center"/>
          </w:tcPr>
          <w:p>
            <w:r>
              <w:t>Agrupada por texto</w:t>
            </w:r>
          </w:p>
        </w:tc>
        <w:tc>
          <w:tcPr>
            <w:tcW w:type="dxa" w:w="1120"/>
            <w:vAlign w:val="center"/>
          </w:tcPr>
          <w:p>
            <w:r>
              <w:t>Regresión Logística</w:t>
            </w:r>
          </w:p>
        </w:tc>
        <w:tc>
          <w:tcPr>
            <w:tcW w:type="dxa" w:w="1120"/>
            <w:vAlign w:val="center"/>
          </w:tcPr>
          <w:p>
            <w:r>
              <w:t>0.7927</w:t>
            </w:r>
          </w:p>
        </w:tc>
        <w:tc>
          <w:tcPr>
            <w:tcW w:type="dxa" w:w="1120"/>
            <w:vAlign w:val="center"/>
          </w:tcPr>
          <w:p>
            <w:r>
              <w:t>0.7350</w:t>
            </w:r>
          </w:p>
        </w:tc>
        <w:tc>
          <w:tcPr>
            <w:tcW w:type="dxa" w:w="1120"/>
            <w:vAlign w:val="center"/>
          </w:tcPr>
          <w:p>
            <w:r>
              <w:t>0.7544</w:t>
            </w:r>
          </w:p>
        </w:tc>
        <w:tc>
          <w:tcPr>
            <w:tcW w:type="dxa" w:w="1120"/>
            <w:vAlign w:val="center"/>
          </w:tcPr>
          <w:p>
            <w:r>
              <w:t>0.7437</w:t>
            </w:r>
          </w:p>
        </w:tc>
        <w:tc>
          <w:tcPr>
            <w:tcW w:type="dxa" w:w="1120"/>
            <w:vAlign w:val="center"/>
          </w:tcPr>
          <w:p>
            <w:r>
              <w:t>0.7962</w:t>
            </w:r>
          </w:p>
        </w:tc>
        <w:tc>
          <w:tcPr>
            <w:tcW w:type="dxa" w:w="1120"/>
            <w:vAlign w:val="center"/>
          </w:tcPr>
          <w:p>
            <w:r>
              <w:t>0.9102</w:t>
            </w:r>
          </w:p>
        </w:tc>
        <w:tc>
          <w:tcPr>
            <w:tcW w:type="dxa" w:w="1120"/>
            <w:vAlign w:val="center"/>
          </w:tcPr>
          <w:p>
            <w:r>
              <w:t>0.7434 ± 0.0079</w:t>
            </w:r>
          </w:p>
        </w:tc>
      </w:tr>
      <w:tr>
        <w:tc>
          <w:tcPr>
            <w:tcW w:type="dxa" w:w="1120"/>
            <w:vAlign w:val="center"/>
          </w:tcPr>
          <w:p>
            <w:r>
              <w:t>Agrupada por texto</w:t>
            </w:r>
          </w:p>
        </w:tc>
        <w:tc>
          <w:tcPr>
            <w:tcW w:type="dxa" w:w="1120"/>
            <w:vAlign w:val="center"/>
          </w:tcPr>
          <w:p>
            <w:r>
              <w:t>Random Forest</w:t>
            </w:r>
          </w:p>
        </w:tc>
        <w:tc>
          <w:tcPr>
            <w:tcW w:type="dxa" w:w="1120"/>
            <w:vAlign w:val="center"/>
          </w:tcPr>
          <w:p>
            <w:r>
              <w:t>0.7452</w:t>
            </w:r>
          </w:p>
        </w:tc>
        <w:tc>
          <w:tcPr>
            <w:tcW w:type="dxa" w:w="1120"/>
            <w:vAlign w:val="center"/>
          </w:tcPr>
          <w:p>
            <w:r>
              <w:t>0.6738</w:t>
            </w:r>
          </w:p>
        </w:tc>
        <w:tc>
          <w:tcPr>
            <w:tcW w:type="dxa" w:w="1120"/>
            <w:vAlign w:val="center"/>
          </w:tcPr>
          <w:p>
            <w:r>
              <w:t>0.6842</w:t>
            </w:r>
          </w:p>
        </w:tc>
        <w:tc>
          <w:tcPr>
            <w:tcW w:type="dxa" w:w="1120"/>
            <w:vAlign w:val="center"/>
          </w:tcPr>
          <w:p>
            <w:r>
              <w:t>0.6787</w:t>
            </w:r>
          </w:p>
        </w:tc>
        <w:tc>
          <w:tcPr>
            <w:tcW w:type="dxa" w:w="1120"/>
            <w:vAlign w:val="center"/>
          </w:tcPr>
          <w:p>
            <w:r>
              <w:t>0.7474</w:t>
            </w:r>
          </w:p>
        </w:tc>
        <w:tc>
          <w:tcPr>
            <w:tcW w:type="dxa" w:w="1120"/>
            <w:vAlign w:val="center"/>
          </w:tcPr>
          <w:p>
            <w:r>
              <w:t>0.8696</w:t>
            </w:r>
          </w:p>
        </w:tc>
        <w:tc>
          <w:tcPr>
            <w:tcW w:type="dxa" w:w="1120"/>
            <w:vAlign w:val="center"/>
          </w:tcPr>
          <w:p>
            <w:r>
              <w:t>0.6820 ± 0.0169</w:t>
            </w:r>
          </w:p>
        </w:tc>
      </w:tr>
    </w:tbl>
    <w:p>
      <w:r>
        <w:t>Las métricas de prueba y las matrices/reportes proceden de los artefactos validados. La reproducción de la auditoría confirmó parámetros, folds, métricas y conteos de confusión en ambos escenarios. La selección se interpreta descriptivamente: no se realizó una prueba de significancia estadística y se usó una sola semilla.</w:t>
      </w:r>
    </w:p>
    <w:p>
      <w:pPr>
        <w:pStyle w:val="Heading2"/>
      </w:pPr>
      <w:r>
        <w:t>Reporte por clase — Original</w:t>
      </w:r>
    </w:p>
    <w:tbl>
      <w:tblPr>
        <w:tblStyle w:val="LightShading-Accent1"/>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Modelo</w:t>
            </w:r>
          </w:p>
        </w:tc>
        <w:tc>
          <w:tcPr>
            <w:tcW w:type="dxa" w:w="1680"/>
          </w:tcPr>
          <w:p>
            <w:r>
              <w:t>Clase</w:t>
            </w:r>
          </w:p>
        </w:tc>
        <w:tc>
          <w:tcPr>
            <w:tcW w:type="dxa" w:w="1680"/>
          </w:tcPr>
          <w:p>
            <w:r>
              <w:t>Precisión</w:t>
            </w:r>
          </w:p>
        </w:tc>
        <w:tc>
          <w:tcPr>
            <w:tcW w:type="dxa" w:w="1680"/>
          </w:tcPr>
          <w:p>
            <w:r>
              <w:t>Recall</w:t>
            </w:r>
          </w:p>
        </w:tc>
        <w:tc>
          <w:tcPr>
            <w:tcW w:type="dxa" w:w="1680"/>
          </w:tcPr>
          <w:p>
            <w:r>
              <w:t>F1</w:t>
            </w:r>
          </w:p>
        </w:tc>
        <w:tc>
          <w:tcPr>
            <w:tcW w:type="dxa" w:w="1680"/>
          </w:tcPr>
          <w:p>
            <w:r>
              <w:t>Soporte</w:t>
            </w:r>
          </w:p>
        </w:tc>
      </w:tr>
      <w:tr>
        <w:tc>
          <w:tcPr>
            <w:tcW w:type="dxa" w:w="1680"/>
            <w:vAlign w:val="center"/>
          </w:tcPr>
          <w:p>
            <w:r>
              <w:t>Regresión Logística</w:t>
            </w:r>
          </w:p>
        </w:tc>
        <w:tc>
          <w:tcPr>
            <w:tcW w:type="dxa" w:w="1680"/>
            <w:vAlign w:val="center"/>
          </w:tcPr>
          <w:p>
            <w:r>
              <w:t>negative</w:t>
            </w:r>
          </w:p>
        </w:tc>
        <w:tc>
          <w:tcPr>
            <w:tcW w:type="dxa" w:w="1680"/>
            <w:vAlign w:val="center"/>
          </w:tcPr>
          <w:p>
            <w:r>
              <w:t>0.894</w:t>
            </w:r>
          </w:p>
        </w:tc>
        <w:tc>
          <w:tcPr>
            <w:tcW w:type="dxa" w:w="1680"/>
            <w:vAlign w:val="center"/>
          </w:tcPr>
          <w:p>
            <w:r>
              <w:t>0.858</w:t>
            </w:r>
          </w:p>
        </w:tc>
        <w:tc>
          <w:tcPr>
            <w:tcW w:type="dxa" w:w="1680"/>
            <w:vAlign w:val="center"/>
          </w:tcPr>
          <w:p>
            <w:r>
              <w:t>0.875</w:t>
            </w:r>
          </w:p>
        </w:tc>
        <w:tc>
          <w:tcPr>
            <w:tcW w:type="dxa" w:w="1680"/>
            <w:vAlign w:val="center"/>
          </w:tcPr>
          <w:p>
            <w:r>
              <w:t>1835</w:t>
            </w:r>
          </w:p>
        </w:tc>
      </w:tr>
      <w:tr>
        <w:tc>
          <w:tcPr>
            <w:tcW w:type="dxa" w:w="1680"/>
            <w:vAlign w:val="center"/>
          </w:tcPr>
          <w:p>
            <w:r>
              <w:t>Regresión Logística</w:t>
            </w:r>
          </w:p>
        </w:tc>
        <w:tc>
          <w:tcPr>
            <w:tcW w:type="dxa" w:w="1680"/>
            <w:vAlign w:val="center"/>
          </w:tcPr>
          <w:p>
            <w:r>
              <w:t>neutral</w:t>
            </w:r>
          </w:p>
        </w:tc>
        <w:tc>
          <w:tcPr>
            <w:tcW w:type="dxa" w:w="1680"/>
            <w:vAlign w:val="center"/>
          </w:tcPr>
          <w:p>
            <w:r>
              <w:t>0.604</w:t>
            </w:r>
          </w:p>
        </w:tc>
        <w:tc>
          <w:tcPr>
            <w:tcW w:type="dxa" w:w="1680"/>
            <w:vAlign w:val="center"/>
          </w:tcPr>
          <w:p>
            <w:r>
              <w:t>0.706</w:t>
            </w:r>
          </w:p>
        </w:tc>
        <w:tc>
          <w:tcPr>
            <w:tcW w:type="dxa" w:w="1680"/>
            <w:vAlign w:val="center"/>
          </w:tcPr>
          <w:p>
            <w:r>
              <w:t>0.651</w:t>
            </w:r>
          </w:p>
        </w:tc>
        <w:tc>
          <w:tcPr>
            <w:tcW w:type="dxa" w:w="1680"/>
            <w:vAlign w:val="center"/>
          </w:tcPr>
          <w:p>
            <w:r>
              <w:t>620</w:t>
            </w:r>
          </w:p>
        </w:tc>
      </w:tr>
      <w:tr>
        <w:tc>
          <w:tcPr>
            <w:tcW w:type="dxa" w:w="1680"/>
            <w:vAlign w:val="center"/>
          </w:tcPr>
          <w:p>
            <w:r>
              <w:t>Regresión Logística</w:t>
            </w:r>
          </w:p>
        </w:tc>
        <w:tc>
          <w:tcPr>
            <w:tcW w:type="dxa" w:w="1680"/>
            <w:vAlign w:val="center"/>
          </w:tcPr>
          <w:p>
            <w:r>
              <w:t>positive</w:t>
            </w:r>
          </w:p>
        </w:tc>
        <w:tc>
          <w:tcPr>
            <w:tcW w:type="dxa" w:w="1680"/>
            <w:vAlign w:val="center"/>
          </w:tcPr>
          <w:p>
            <w:r>
              <w:t>0.735</w:t>
            </w:r>
          </w:p>
        </w:tc>
        <w:tc>
          <w:tcPr>
            <w:tcW w:type="dxa" w:w="1680"/>
            <w:vAlign w:val="center"/>
          </w:tcPr>
          <w:p>
            <w:r>
              <w:t>0.687</w:t>
            </w:r>
          </w:p>
        </w:tc>
        <w:tc>
          <w:tcPr>
            <w:tcW w:type="dxa" w:w="1680"/>
            <w:vAlign w:val="center"/>
          </w:tcPr>
          <w:p>
            <w:r>
              <w:t>0.710</w:t>
            </w:r>
          </w:p>
        </w:tc>
        <w:tc>
          <w:tcPr>
            <w:tcW w:type="dxa" w:w="1680"/>
            <w:vAlign w:val="center"/>
          </w:tcPr>
          <w:p>
            <w:r>
              <w:t>473</w:t>
            </w:r>
          </w:p>
        </w:tc>
      </w:tr>
      <w:tr>
        <w:tc>
          <w:tcPr>
            <w:tcW w:type="dxa" w:w="1680"/>
            <w:vAlign w:val="center"/>
          </w:tcPr>
          <w:p>
            <w:r>
              <w:t>Random Forest</w:t>
            </w:r>
          </w:p>
        </w:tc>
        <w:tc>
          <w:tcPr>
            <w:tcW w:type="dxa" w:w="1680"/>
            <w:vAlign w:val="center"/>
          </w:tcPr>
          <w:p>
            <w:r>
              <w:t>negative</w:t>
            </w:r>
          </w:p>
        </w:tc>
        <w:tc>
          <w:tcPr>
            <w:tcW w:type="dxa" w:w="1680"/>
            <w:vAlign w:val="center"/>
          </w:tcPr>
          <w:p>
            <w:r>
              <w:t>0.850</w:t>
            </w:r>
          </w:p>
        </w:tc>
        <w:tc>
          <w:tcPr>
            <w:tcW w:type="dxa" w:w="1680"/>
            <w:vAlign w:val="center"/>
          </w:tcPr>
          <w:p>
            <w:r>
              <w:t>0.797</w:t>
            </w:r>
          </w:p>
        </w:tc>
        <w:tc>
          <w:tcPr>
            <w:tcW w:type="dxa" w:w="1680"/>
            <w:vAlign w:val="center"/>
          </w:tcPr>
          <w:p>
            <w:r>
              <w:t>0.822</w:t>
            </w:r>
          </w:p>
        </w:tc>
        <w:tc>
          <w:tcPr>
            <w:tcW w:type="dxa" w:w="1680"/>
            <w:vAlign w:val="center"/>
          </w:tcPr>
          <w:p>
            <w:r>
              <w:t>1835</w:t>
            </w:r>
          </w:p>
        </w:tc>
      </w:tr>
      <w:tr>
        <w:tc>
          <w:tcPr>
            <w:tcW w:type="dxa" w:w="1680"/>
            <w:vAlign w:val="center"/>
          </w:tcPr>
          <w:p>
            <w:r>
              <w:t>Random Forest</w:t>
            </w:r>
          </w:p>
        </w:tc>
        <w:tc>
          <w:tcPr>
            <w:tcW w:type="dxa" w:w="1680"/>
            <w:vAlign w:val="center"/>
          </w:tcPr>
          <w:p>
            <w:r>
              <w:t>neutral</w:t>
            </w:r>
          </w:p>
        </w:tc>
        <w:tc>
          <w:tcPr>
            <w:tcW w:type="dxa" w:w="1680"/>
            <w:vAlign w:val="center"/>
          </w:tcPr>
          <w:p>
            <w:r>
              <w:t>0.512</w:t>
            </w:r>
          </w:p>
        </w:tc>
        <w:tc>
          <w:tcPr>
            <w:tcW w:type="dxa" w:w="1680"/>
            <w:vAlign w:val="center"/>
          </w:tcPr>
          <w:p>
            <w:r>
              <w:t>0.606</w:t>
            </w:r>
          </w:p>
        </w:tc>
        <w:tc>
          <w:tcPr>
            <w:tcW w:type="dxa" w:w="1680"/>
            <w:vAlign w:val="center"/>
          </w:tcPr>
          <w:p>
            <w:r>
              <w:t>0.555</w:t>
            </w:r>
          </w:p>
        </w:tc>
        <w:tc>
          <w:tcPr>
            <w:tcW w:type="dxa" w:w="1680"/>
            <w:vAlign w:val="center"/>
          </w:tcPr>
          <w:p>
            <w:r>
              <w:t>620</w:t>
            </w:r>
          </w:p>
        </w:tc>
      </w:tr>
      <w:tr>
        <w:tc>
          <w:tcPr>
            <w:tcW w:type="dxa" w:w="1680"/>
            <w:vAlign w:val="center"/>
          </w:tcPr>
          <w:p>
            <w:r>
              <w:t>Random Forest</w:t>
            </w:r>
          </w:p>
        </w:tc>
        <w:tc>
          <w:tcPr>
            <w:tcW w:type="dxa" w:w="1680"/>
            <w:vAlign w:val="center"/>
          </w:tcPr>
          <w:p>
            <w:r>
              <w:t>positive</w:t>
            </w:r>
          </w:p>
        </w:tc>
        <w:tc>
          <w:tcPr>
            <w:tcW w:type="dxa" w:w="1680"/>
            <w:vAlign w:val="center"/>
          </w:tcPr>
          <w:p>
            <w:r>
              <w:t>0.621</w:t>
            </w:r>
          </w:p>
        </w:tc>
        <w:tc>
          <w:tcPr>
            <w:tcW w:type="dxa" w:w="1680"/>
            <w:vAlign w:val="center"/>
          </w:tcPr>
          <w:p>
            <w:r>
              <w:t>0.619</w:t>
            </w:r>
          </w:p>
        </w:tc>
        <w:tc>
          <w:tcPr>
            <w:tcW w:type="dxa" w:w="1680"/>
            <w:vAlign w:val="center"/>
          </w:tcPr>
          <w:p>
            <w:r>
              <w:t>0.620</w:t>
            </w:r>
          </w:p>
        </w:tc>
        <w:tc>
          <w:tcPr>
            <w:tcW w:type="dxa" w:w="1680"/>
            <w:vAlign w:val="center"/>
          </w:tcPr>
          <w:p>
            <w:r>
              <w:t>473</w:t>
            </w:r>
          </w:p>
        </w:tc>
      </w:tr>
    </w:tbl>
    <w:p>
      <w:pPr>
        <w:pStyle w:val="Heading2"/>
      </w:pPr>
      <w:r>
        <w:t>Reporte por clase — Agrupado</w:t>
      </w:r>
    </w:p>
    <w:tbl>
      <w:tblPr>
        <w:tblStyle w:val="LightShading-Accent1"/>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Modelo</w:t>
            </w:r>
          </w:p>
        </w:tc>
        <w:tc>
          <w:tcPr>
            <w:tcW w:type="dxa" w:w="1680"/>
          </w:tcPr>
          <w:p>
            <w:r>
              <w:t>Clase</w:t>
            </w:r>
          </w:p>
        </w:tc>
        <w:tc>
          <w:tcPr>
            <w:tcW w:type="dxa" w:w="1680"/>
          </w:tcPr>
          <w:p>
            <w:r>
              <w:t>Precisión</w:t>
            </w:r>
          </w:p>
        </w:tc>
        <w:tc>
          <w:tcPr>
            <w:tcW w:type="dxa" w:w="1680"/>
          </w:tcPr>
          <w:p>
            <w:r>
              <w:t>Recall</w:t>
            </w:r>
          </w:p>
        </w:tc>
        <w:tc>
          <w:tcPr>
            <w:tcW w:type="dxa" w:w="1680"/>
          </w:tcPr>
          <w:p>
            <w:r>
              <w:t>F1</w:t>
            </w:r>
          </w:p>
        </w:tc>
        <w:tc>
          <w:tcPr>
            <w:tcW w:type="dxa" w:w="1680"/>
          </w:tcPr>
          <w:p>
            <w:r>
              <w:t>Soporte</w:t>
            </w:r>
          </w:p>
        </w:tc>
      </w:tr>
      <w:tr>
        <w:tc>
          <w:tcPr>
            <w:tcW w:type="dxa" w:w="1680"/>
            <w:vAlign w:val="center"/>
          </w:tcPr>
          <w:p>
            <w:r>
              <w:t>Regresión Logística</w:t>
            </w:r>
          </w:p>
        </w:tc>
        <w:tc>
          <w:tcPr>
            <w:tcW w:type="dxa" w:w="1680"/>
            <w:vAlign w:val="center"/>
          </w:tcPr>
          <w:p>
            <w:r>
              <w:t>negative</w:t>
            </w:r>
          </w:p>
        </w:tc>
        <w:tc>
          <w:tcPr>
            <w:tcW w:type="dxa" w:w="1680"/>
            <w:vAlign w:val="center"/>
          </w:tcPr>
          <w:p>
            <w:r>
              <w:t>0.892</w:t>
            </w:r>
          </w:p>
        </w:tc>
        <w:tc>
          <w:tcPr>
            <w:tcW w:type="dxa" w:w="1680"/>
            <w:vAlign w:val="center"/>
          </w:tcPr>
          <w:p>
            <w:r>
              <w:t>0.844</w:t>
            </w:r>
          </w:p>
        </w:tc>
        <w:tc>
          <w:tcPr>
            <w:tcW w:type="dxa" w:w="1680"/>
            <w:vAlign w:val="center"/>
          </w:tcPr>
          <w:p>
            <w:r>
              <w:t>0.867</w:t>
            </w:r>
          </w:p>
        </w:tc>
        <w:tc>
          <w:tcPr>
            <w:tcW w:type="dxa" w:w="1680"/>
            <w:vAlign w:val="center"/>
          </w:tcPr>
          <w:p>
            <w:r>
              <w:t>1836</w:t>
            </w:r>
          </w:p>
        </w:tc>
      </w:tr>
      <w:tr>
        <w:tc>
          <w:tcPr>
            <w:tcW w:type="dxa" w:w="1680"/>
            <w:vAlign w:val="center"/>
          </w:tcPr>
          <w:p>
            <w:r>
              <w:t>Regresión Logística</w:t>
            </w:r>
          </w:p>
        </w:tc>
        <w:tc>
          <w:tcPr>
            <w:tcW w:type="dxa" w:w="1680"/>
            <w:vAlign w:val="center"/>
          </w:tcPr>
          <w:p>
            <w:r>
              <w:t>neutral</w:t>
            </w:r>
          </w:p>
        </w:tc>
        <w:tc>
          <w:tcPr>
            <w:tcW w:type="dxa" w:w="1680"/>
            <w:vAlign w:val="center"/>
          </w:tcPr>
          <w:p>
            <w:r>
              <w:t>0.607</w:t>
            </w:r>
          </w:p>
        </w:tc>
        <w:tc>
          <w:tcPr>
            <w:tcW w:type="dxa" w:w="1680"/>
            <w:vAlign w:val="center"/>
          </w:tcPr>
          <w:p>
            <w:r>
              <w:t>0.684</w:t>
            </w:r>
          </w:p>
        </w:tc>
        <w:tc>
          <w:tcPr>
            <w:tcW w:type="dxa" w:w="1680"/>
            <w:vAlign w:val="center"/>
          </w:tcPr>
          <w:p>
            <w:r>
              <w:t>0.643</w:t>
            </w:r>
          </w:p>
        </w:tc>
        <w:tc>
          <w:tcPr>
            <w:tcW w:type="dxa" w:w="1680"/>
            <w:vAlign w:val="center"/>
          </w:tcPr>
          <w:p>
            <w:r>
              <w:t>620</w:t>
            </w:r>
          </w:p>
        </w:tc>
      </w:tr>
      <w:tr>
        <w:tc>
          <w:tcPr>
            <w:tcW w:type="dxa" w:w="1680"/>
            <w:vAlign w:val="center"/>
          </w:tcPr>
          <w:p>
            <w:r>
              <w:t>Regresión Logística</w:t>
            </w:r>
          </w:p>
        </w:tc>
        <w:tc>
          <w:tcPr>
            <w:tcW w:type="dxa" w:w="1680"/>
            <w:vAlign w:val="center"/>
          </w:tcPr>
          <w:p>
            <w:r>
              <w:t>positive</w:t>
            </w:r>
          </w:p>
        </w:tc>
        <w:tc>
          <w:tcPr>
            <w:tcW w:type="dxa" w:w="1680"/>
            <w:vAlign w:val="center"/>
          </w:tcPr>
          <w:p>
            <w:r>
              <w:t>0.707</w:t>
            </w:r>
          </w:p>
        </w:tc>
        <w:tc>
          <w:tcPr>
            <w:tcW w:type="dxa" w:w="1680"/>
            <w:vAlign w:val="center"/>
          </w:tcPr>
          <w:p>
            <w:r>
              <w:t>0.735</w:t>
            </w:r>
          </w:p>
        </w:tc>
        <w:tc>
          <w:tcPr>
            <w:tcW w:type="dxa" w:w="1680"/>
            <w:vAlign w:val="center"/>
          </w:tcPr>
          <w:p>
            <w:r>
              <w:t>0.721</w:t>
            </w:r>
          </w:p>
        </w:tc>
        <w:tc>
          <w:tcPr>
            <w:tcW w:type="dxa" w:w="1680"/>
            <w:vAlign w:val="center"/>
          </w:tcPr>
          <w:p>
            <w:r>
              <w:t>472</w:t>
            </w:r>
          </w:p>
        </w:tc>
      </w:tr>
      <w:tr>
        <w:tc>
          <w:tcPr>
            <w:tcW w:type="dxa" w:w="1680"/>
            <w:vAlign w:val="center"/>
          </w:tcPr>
          <w:p>
            <w:r>
              <w:t>Random Forest</w:t>
            </w:r>
          </w:p>
        </w:tc>
        <w:tc>
          <w:tcPr>
            <w:tcW w:type="dxa" w:w="1680"/>
            <w:vAlign w:val="center"/>
          </w:tcPr>
          <w:p>
            <w:r>
              <w:t>negative</w:t>
            </w:r>
          </w:p>
        </w:tc>
        <w:tc>
          <w:tcPr>
            <w:tcW w:type="dxa" w:w="1680"/>
            <w:vAlign w:val="center"/>
          </w:tcPr>
          <w:p>
            <w:r>
              <w:t>0.851</w:t>
            </w:r>
          </w:p>
        </w:tc>
        <w:tc>
          <w:tcPr>
            <w:tcW w:type="dxa" w:w="1680"/>
            <w:vAlign w:val="center"/>
          </w:tcPr>
          <w:p>
            <w:r>
              <w:t>0.827</w:t>
            </w:r>
          </w:p>
        </w:tc>
        <w:tc>
          <w:tcPr>
            <w:tcW w:type="dxa" w:w="1680"/>
            <w:vAlign w:val="center"/>
          </w:tcPr>
          <w:p>
            <w:r>
              <w:t>0.839</w:t>
            </w:r>
          </w:p>
        </w:tc>
        <w:tc>
          <w:tcPr>
            <w:tcW w:type="dxa" w:w="1680"/>
            <w:vAlign w:val="center"/>
          </w:tcPr>
          <w:p>
            <w:r>
              <w:t>1836</w:t>
            </w:r>
          </w:p>
        </w:tc>
      </w:tr>
      <w:tr>
        <w:tc>
          <w:tcPr>
            <w:tcW w:type="dxa" w:w="1680"/>
            <w:vAlign w:val="center"/>
          </w:tcPr>
          <w:p>
            <w:r>
              <w:t>Random Forest</w:t>
            </w:r>
          </w:p>
        </w:tc>
        <w:tc>
          <w:tcPr>
            <w:tcW w:type="dxa" w:w="1680"/>
            <w:vAlign w:val="center"/>
          </w:tcPr>
          <w:p>
            <w:r>
              <w:t>neutral</w:t>
            </w:r>
          </w:p>
        </w:tc>
        <w:tc>
          <w:tcPr>
            <w:tcW w:type="dxa" w:w="1680"/>
            <w:vAlign w:val="center"/>
          </w:tcPr>
          <w:p>
            <w:r>
              <w:t>0.550</w:t>
            </w:r>
          </w:p>
        </w:tc>
        <w:tc>
          <w:tcPr>
            <w:tcW w:type="dxa" w:w="1680"/>
            <w:vAlign w:val="center"/>
          </w:tcPr>
          <w:p>
            <w:r>
              <w:t>0.577</w:t>
            </w:r>
          </w:p>
        </w:tc>
        <w:tc>
          <w:tcPr>
            <w:tcW w:type="dxa" w:w="1680"/>
            <w:vAlign w:val="center"/>
          </w:tcPr>
          <w:p>
            <w:r>
              <w:t>0.563</w:t>
            </w:r>
          </w:p>
        </w:tc>
        <w:tc>
          <w:tcPr>
            <w:tcW w:type="dxa" w:w="1680"/>
            <w:vAlign w:val="center"/>
          </w:tcPr>
          <w:p>
            <w:r>
              <w:t>620</w:t>
            </w:r>
          </w:p>
        </w:tc>
      </w:tr>
      <w:tr>
        <w:tc>
          <w:tcPr>
            <w:tcW w:type="dxa" w:w="1680"/>
            <w:vAlign w:val="center"/>
          </w:tcPr>
          <w:p>
            <w:r>
              <w:t>Random Forest</w:t>
            </w:r>
          </w:p>
        </w:tc>
        <w:tc>
          <w:tcPr>
            <w:tcW w:type="dxa" w:w="1680"/>
            <w:vAlign w:val="center"/>
          </w:tcPr>
          <w:p>
            <w:r>
              <w:t>positive</w:t>
            </w:r>
          </w:p>
        </w:tc>
        <w:tc>
          <w:tcPr>
            <w:tcW w:type="dxa" w:w="1680"/>
            <w:vAlign w:val="center"/>
          </w:tcPr>
          <w:p>
            <w:r>
              <w:t>0.621</w:t>
            </w:r>
          </w:p>
        </w:tc>
        <w:tc>
          <w:tcPr>
            <w:tcW w:type="dxa" w:w="1680"/>
            <w:vAlign w:val="center"/>
          </w:tcPr>
          <w:p>
            <w:r>
              <w:t>0.648</w:t>
            </w:r>
          </w:p>
        </w:tc>
        <w:tc>
          <w:tcPr>
            <w:tcW w:type="dxa" w:w="1680"/>
            <w:vAlign w:val="center"/>
          </w:tcPr>
          <w:p>
            <w:r>
              <w:t>0.634</w:t>
            </w:r>
          </w:p>
        </w:tc>
        <w:tc>
          <w:tcPr>
            <w:tcW w:type="dxa" w:w="1680"/>
            <w:vAlign w:val="center"/>
          </w:tcPr>
          <w:p>
            <w:r>
              <w:t>472</w:t>
            </w:r>
          </w:p>
        </w:tc>
      </w:tr>
    </w:tbl>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comparacion_modelos.png"/>
                    <pic:cNvPicPr/>
                  </pic:nvPicPr>
                  <pic:blipFill>
                    <a:blip r:embed="rId10"/>
                    <a:stretch>
                      <a:fillRect/>
                    </a:stretch>
                  </pic:blipFill>
                  <pic:spPr>
                    <a:xfrm>
                      <a:off x="0" y="0"/>
                      <a:ext cx="5669280" cy="2834640"/>
                    </a:xfrm>
                    <a:prstGeom prst="rect"/>
                  </pic:spPr>
                </pic:pic>
              </a:graphicData>
            </a:graphic>
          </wp:inline>
        </w:drawing>
      </w:r>
    </w:p>
    <w:p>
      <w:pPr>
        <w:pStyle w:val="Caption"/>
      </w:pPr>
      <w:r>
        <w:t>Figura 1. Comparación original de modelos.</w:t>
      </w:r>
    </w:p>
    <w:p>
      <w:r>
        <w:drawing>
          <wp:inline xmlns:a="http://schemas.openxmlformats.org/drawingml/2006/main" xmlns:pic="http://schemas.openxmlformats.org/drawingml/2006/picture">
            <wp:extent cx="5669280" cy="2362200"/>
            <wp:docPr id="3" name="Picture 3"/>
            <wp:cNvGraphicFramePr>
              <a:graphicFrameLocks noChangeAspect="1"/>
            </wp:cNvGraphicFramePr>
            <a:graphic>
              <a:graphicData uri="http://schemas.openxmlformats.org/drawingml/2006/picture">
                <pic:pic>
                  <pic:nvPicPr>
                    <pic:cNvPr id="0" name="matrices_confusion.png"/>
                    <pic:cNvPicPr/>
                  </pic:nvPicPr>
                  <pic:blipFill>
                    <a:blip r:embed="rId11"/>
                    <a:stretch>
                      <a:fillRect/>
                    </a:stretch>
                  </pic:blipFill>
                  <pic:spPr>
                    <a:xfrm>
                      <a:off x="0" y="0"/>
                      <a:ext cx="5669280" cy="2362200"/>
                    </a:xfrm>
                    <a:prstGeom prst="rect"/>
                  </pic:spPr>
                </pic:pic>
              </a:graphicData>
            </a:graphic>
          </wp:inline>
        </w:drawing>
      </w:r>
    </w:p>
    <w:p>
      <w:pPr>
        <w:pStyle w:val="Caption"/>
      </w:pPr>
      <w:r>
        <w:t>Figura 2. Matrices de confusión del escenario original.</w:t>
      </w:r>
    </w:p>
    <w:p>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comparacion_modelos.png"/>
                    <pic:cNvPicPr/>
                  </pic:nvPicPr>
                  <pic:blipFill>
                    <a:blip r:embed="rId12"/>
                    <a:stretch>
                      <a:fillRect/>
                    </a:stretch>
                  </pic:blipFill>
                  <pic:spPr>
                    <a:xfrm>
                      <a:off x="0" y="0"/>
                      <a:ext cx="5669280" cy="2834640"/>
                    </a:xfrm>
                    <a:prstGeom prst="rect"/>
                  </pic:spPr>
                </pic:pic>
              </a:graphicData>
            </a:graphic>
          </wp:inline>
        </w:drawing>
      </w:r>
    </w:p>
    <w:p>
      <w:pPr>
        <w:pStyle w:val="Caption"/>
      </w:pPr>
      <w:r>
        <w:t>Figura 3. Comparación del escenario agrupado.</w:t>
      </w:r>
    </w:p>
    <w:p>
      <w:r>
        <w:drawing>
          <wp:inline xmlns:a="http://schemas.openxmlformats.org/drawingml/2006/main" xmlns:pic="http://schemas.openxmlformats.org/drawingml/2006/picture">
            <wp:extent cx="5669280" cy="2362200"/>
            <wp:docPr id="5" name="Picture 5"/>
            <wp:cNvGraphicFramePr>
              <a:graphicFrameLocks noChangeAspect="1"/>
            </wp:cNvGraphicFramePr>
            <a:graphic>
              <a:graphicData uri="http://schemas.openxmlformats.org/drawingml/2006/picture">
                <pic:pic>
                  <pic:nvPicPr>
                    <pic:cNvPr id="0" name="matrices_confusion.png"/>
                    <pic:cNvPicPr/>
                  </pic:nvPicPr>
                  <pic:blipFill>
                    <a:blip r:embed="rId13"/>
                    <a:stretch>
                      <a:fillRect/>
                    </a:stretch>
                  </pic:blipFill>
                  <pic:spPr>
                    <a:xfrm>
                      <a:off x="0" y="0"/>
                      <a:ext cx="5669280" cy="2362200"/>
                    </a:xfrm>
                    <a:prstGeom prst="rect"/>
                  </pic:spPr>
                </pic:pic>
              </a:graphicData>
            </a:graphic>
          </wp:inline>
        </w:drawing>
      </w:r>
    </w:p>
    <w:p>
      <w:pPr>
        <w:pStyle w:val="Caption"/>
      </w:pPr>
      <w:r>
        <w:t>Figura 4. Matrices del escenario agrupado.</w:t>
      </w:r>
    </w:p>
    <w:p>
      <w:pPr>
        <w:pStyle w:val="Heading1"/>
      </w:pPr>
      <w:r>
        <w:t>Seguimiento con MLflow</w:t>
      </w:r>
    </w:p>
    <w:p>
      <w:r>
        <w:t>El experimento local Actividad5_Clasificacion_Sentimiento contiene cuatro ejecuciones confirmadas en la interfaz (MLflow 3.17.1): logistic regression y random forest para evaluacion_original y evaluacion_agrupada. Los runs registran métricas, parámetros, versiones y artefactos; sus etiquetas marcan el escenario y especifican que la prueba no se usó en ajuste. Las ejecuciones registradas no guardan contenido de los comentarios ni serializan modelos. Las capturas insertadas son evidencia visual de la interfaz; la base SQLite y el almacenamiento interno de artefactos quedan fuera de este informe/Git.</w:t>
      </w:r>
    </w:p>
    <w:p>
      <w:r>
        <w:drawing>
          <wp:inline xmlns:a="http://schemas.openxmlformats.org/drawingml/2006/main" xmlns:pic="http://schemas.openxmlformats.org/drawingml/2006/picture">
            <wp:extent cx="5669280" cy="2674524"/>
            <wp:docPr id="6" name="Picture 6"/>
            <wp:cNvGraphicFramePr>
              <a:graphicFrameLocks noChangeAspect="1"/>
            </wp:cNvGraphicFramePr>
            <a:graphic>
              <a:graphicData uri="http://schemas.openxmlformats.org/drawingml/2006/picture">
                <pic:pic>
                  <pic:nvPicPr>
                    <pic:cNvPr id="0" name="Captura de pantalla 2026-10-17 225547.png"/>
                    <pic:cNvPicPr/>
                  </pic:nvPicPr>
                  <pic:blipFill>
                    <a:blip r:embed="rId14"/>
                    <a:stretch>
                      <a:fillRect/>
                    </a:stretch>
                  </pic:blipFill>
                  <pic:spPr>
                    <a:xfrm>
                      <a:off x="0" y="0"/>
                      <a:ext cx="5669280" cy="2674524"/>
                    </a:xfrm>
                    <a:prstGeom prst="rect"/>
                  </pic:spPr>
                </pic:pic>
              </a:graphicData>
            </a:graphic>
          </wp:inline>
        </w:drawing>
      </w:r>
    </w:p>
    <w:p>
      <w:pPr>
        <w:pStyle w:val="Caption"/>
      </w:pPr>
      <w:r>
        <w:t>Evidencia MLflow: Captura de pantalla 2026-10-17 225547.png</w:t>
      </w:r>
    </w:p>
    <w:p>
      <w:r>
        <w:drawing>
          <wp:inline xmlns:a="http://schemas.openxmlformats.org/drawingml/2006/main" xmlns:pic="http://schemas.openxmlformats.org/drawingml/2006/picture">
            <wp:extent cx="5669280" cy="2624535"/>
            <wp:docPr id="7" name="Picture 7"/>
            <wp:cNvGraphicFramePr>
              <a:graphicFrameLocks noChangeAspect="1"/>
            </wp:cNvGraphicFramePr>
            <a:graphic>
              <a:graphicData uri="http://schemas.openxmlformats.org/drawingml/2006/picture">
                <pic:pic>
                  <pic:nvPicPr>
                    <pic:cNvPr id="0" name="Captura de pantalla 2026-10-17 230736.png"/>
                    <pic:cNvPicPr/>
                  </pic:nvPicPr>
                  <pic:blipFill>
                    <a:blip r:embed="rId15"/>
                    <a:stretch>
                      <a:fillRect/>
                    </a:stretch>
                  </pic:blipFill>
                  <pic:spPr>
                    <a:xfrm>
                      <a:off x="0" y="0"/>
                      <a:ext cx="5669280" cy="2624535"/>
                    </a:xfrm>
                    <a:prstGeom prst="rect"/>
                  </pic:spPr>
                </pic:pic>
              </a:graphicData>
            </a:graphic>
          </wp:inline>
        </w:drawing>
      </w:r>
    </w:p>
    <w:p>
      <w:pPr>
        <w:pStyle w:val="Caption"/>
      </w:pPr>
      <w:r>
        <w:t>Evidencia MLflow: Captura de pantalla 2026-10-17 230736.png</w:t>
      </w:r>
    </w:p>
    <w:p>
      <w:r>
        <w:drawing>
          <wp:inline xmlns:a="http://schemas.openxmlformats.org/drawingml/2006/main" xmlns:pic="http://schemas.openxmlformats.org/drawingml/2006/picture">
            <wp:extent cx="5669280" cy="2641758"/>
            <wp:docPr id="8" name="Picture 8"/>
            <wp:cNvGraphicFramePr>
              <a:graphicFrameLocks noChangeAspect="1"/>
            </wp:cNvGraphicFramePr>
            <a:graphic>
              <a:graphicData uri="http://schemas.openxmlformats.org/drawingml/2006/picture">
                <pic:pic>
                  <pic:nvPicPr>
                    <pic:cNvPr id="0" name="Captura de pantalla 2026-10-17 230828.png"/>
                    <pic:cNvPicPr/>
                  </pic:nvPicPr>
                  <pic:blipFill>
                    <a:blip r:embed="rId16"/>
                    <a:stretch>
                      <a:fillRect/>
                    </a:stretch>
                  </pic:blipFill>
                  <pic:spPr>
                    <a:xfrm>
                      <a:off x="0" y="0"/>
                      <a:ext cx="5669280" cy="2641758"/>
                    </a:xfrm>
                    <a:prstGeom prst="rect"/>
                  </pic:spPr>
                </pic:pic>
              </a:graphicData>
            </a:graphic>
          </wp:inline>
        </w:drawing>
      </w:r>
    </w:p>
    <w:p>
      <w:pPr>
        <w:pStyle w:val="Caption"/>
      </w:pPr>
      <w:r>
        <w:t>Evidencia MLflow: Captura de pantalla 2026-10-17 230828.png</w:t>
      </w:r>
    </w:p>
    <w:p>
      <w:r>
        <w:drawing>
          <wp:inline xmlns:a="http://schemas.openxmlformats.org/drawingml/2006/main" xmlns:pic="http://schemas.openxmlformats.org/drawingml/2006/picture">
            <wp:extent cx="5669280" cy="2595752"/>
            <wp:docPr id="9" name="Picture 9"/>
            <wp:cNvGraphicFramePr>
              <a:graphicFrameLocks noChangeAspect="1"/>
            </wp:cNvGraphicFramePr>
            <a:graphic>
              <a:graphicData uri="http://schemas.openxmlformats.org/drawingml/2006/picture">
                <pic:pic>
                  <pic:nvPicPr>
                    <pic:cNvPr id="0" name="Captura de pantalla 2026-10-17 230910.png"/>
                    <pic:cNvPicPr/>
                  </pic:nvPicPr>
                  <pic:blipFill>
                    <a:blip r:embed="rId17"/>
                    <a:stretch>
                      <a:fillRect/>
                    </a:stretch>
                  </pic:blipFill>
                  <pic:spPr>
                    <a:xfrm>
                      <a:off x="0" y="0"/>
                      <a:ext cx="5669280" cy="2595752"/>
                    </a:xfrm>
                    <a:prstGeom prst="rect"/>
                  </pic:spPr>
                </pic:pic>
              </a:graphicData>
            </a:graphic>
          </wp:inline>
        </w:drawing>
      </w:r>
    </w:p>
    <w:p>
      <w:pPr>
        <w:pStyle w:val="Caption"/>
      </w:pPr>
      <w:r>
        <w:t>Evidencia MLflow: Captura de pantalla 2026-10-17 230910.png</w:t>
      </w:r>
    </w:p>
    <w:p>
      <w:r>
        <w:drawing>
          <wp:inline xmlns:a="http://schemas.openxmlformats.org/drawingml/2006/main" xmlns:pic="http://schemas.openxmlformats.org/drawingml/2006/picture">
            <wp:extent cx="5669280" cy="2740317"/>
            <wp:docPr id="10" name="Picture 10"/>
            <wp:cNvGraphicFramePr>
              <a:graphicFrameLocks noChangeAspect="1"/>
            </wp:cNvGraphicFramePr>
            <a:graphic>
              <a:graphicData uri="http://schemas.openxmlformats.org/drawingml/2006/picture">
                <pic:pic>
                  <pic:nvPicPr>
                    <pic:cNvPr id="0" name="Captura de pantalla 2026-10-17 230945.png"/>
                    <pic:cNvPicPr/>
                  </pic:nvPicPr>
                  <pic:blipFill>
                    <a:blip r:embed="rId18"/>
                    <a:stretch>
                      <a:fillRect/>
                    </a:stretch>
                  </pic:blipFill>
                  <pic:spPr>
                    <a:xfrm>
                      <a:off x="0" y="0"/>
                      <a:ext cx="5669280" cy="2740317"/>
                    </a:xfrm>
                    <a:prstGeom prst="rect"/>
                  </pic:spPr>
                </pic:pic>
              </a:graphicData>
            </a:graphic>
          </wp:inline>
        </w:drawing>
      </w:r>
    </w:p>
    <w:p>
      <w:pPr>
        <w:pStyle w:val="Caption"/>
      </w:pPr>
      <w:r>
        <w:t>Evidencia MLflow: Captura de pantalla 2026-10-17 230945.png</w:t>
      </w:r>
    </w:p>
    <w:p>
      <w:pPr>
        <w:pStyle w:val="Heading1"/>
      </w:pPr>
      <w:r>
        <w:t>Pruebas y reproducibilidad</w:t>
      </w:r>
    </w:p>
    <w:p>
      <w:r>
        <w:t>La suite unittest disponible reportó 7 pruebas OK en la última ejecución. pip check no reportó conflictos. Las dependencias se instalaron en el entorno virtual; el notebook complementario se validó como JSON y compilando estáticamente sus celdas, pero no se ejecutó integralmente porque no están instalados Jupyter ni ipykernel.</w:t>
      </w:r>
    </w:p>
    <w:p>
      <w:r>
        <w:t>Para reproducir: crear .venv con Python 3.13, instalar requirements.txt, descargar Tweets.csv desde la URL de Kaggle y guardarlo en datos/datos_ini/, ejecutar fuentes/datos_prep.py, fuentes/train.py, fuentes/auditoria_fase3.py, fuentes/mlflow_tracking.py y después las pruebas con .venv/Scripts/python.exe -m unittest discover -s tests -v. Para consultar MLflow, ejecutar .venv/Scripts/mlflow.exe server --backend-store-uri sqlite:///mlflow.db --host 127.0.0.1 --port 5000 y abrir http://127.0.0.1:5000.</w:t>
      </w:r>
    </w:p>
    <w:p>
      <w:pPr>
        <w:pStyle w:val="Heading1"/>
      </w:pPr>
      <w:r>
        <w:t>Limitaciones y decisiones</w:t>
      </w:r>
    </w:p>
    <w:p>
      <w:r>
        <w:t>Los textos duplicados pueden influir en la estimación del split aleatorio; por eso se reportan dos protocolos separados. Hay desbalance de clases y etiquetas contradictorias para algunos textos. La licencia de Kaggle es no comercial y share-alike; por cautela el CSV no se incluye en Git y se documenta su descarga. No se evaluó desempeño en producción ni generalización a otros dominios.</w:t>
      </w:r>
    </w:p>
    <w:p>
      <w:r>
        <w:t>Deuda técnica y trabajo futuro: repetir la evaluación con más semillas o validación externa, revisar el efecto de etiquetas contradictorias, cuantificar intervalos de incertidumbre y sesgos por aerolínea, y habilitar una ejecución completa del notebook en un entorno con Jupyter. Estas son propuestas; no se reportan como experimentos realizados.</w:t>
      </w:r>
    </w:p>
    <w:p>
      <w:pPr>
        <w:pStyle w:val="Heading1"/>
      </w:pPr>
      <w:r>
        <w:t>Conclusiones</w:t>
      </w:r>
    </w:p>
    <w:p>
      <w:r>
        <w:t>En las ejecuciones disponibles, Regresión Logística obtuvo mayor F1 macro que Random Forest en ambos protocolos. Su F1 macro fue 0.7457 en la partición original y 0.7437 en la agrupada; la cercanía entre esos resultados es descriptiva y no prueba equivalencia ni significancia. La evaluación agrupada aporta una medición complementaria que elimina el solapamiento de textos idénticos. El flujo registra datos, resultados y evidencias de manera reproducible, sujeto a las limitaciones de la fuente y de los protocolos documentados.</w:t>
      </w:r>
    </w:p>
    <w:p>
      <w:pPr>
        <w:pStyle w:val="Heading1"/>
      </w:pPr>
      <w:r>
        <w:t>Referencias</w:t>
      </w:r>
    </w:p>
    <w:p>
      <w:r>
        <w:t>Crowdflower. Twitter US Airline Sentiment. Kaggle, dataset y licencia CC BY-NC-SA 4.0. Consulta: 17 de octubre de 2026. https://www.kaggle.com/datasets/crowdflower/twitter-airline-sentiment/data</w:t>
      </w:r>
    </w:p>
    <w:p>
      <w:r>
        <w:t>Scikit-learn developers. Pipeline y composición de estimadores. https://scikit-learn.org/stable/modules/compose.html</w:t>
      </w:r>
    </w:p>
    <w:p>
      <w:r>
        <w:t>Scikit-learn developers. GridSearchCV. https://scikit-learn.org/stable/modules/generated/sklearn.model_selection.GridSearchCV.html</w:t>
      </w:r>
    </w:p>
    <w:p>
      <w:r>
        <w:t>MLflow. Tracking experiments. https://mlflow.org/docs/latest/ml/tracking/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