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48FD" w14:textId="7321A280" w:rsidR="00F7481A" w:rsidRPr="001F27DE" w:rsidRDefault="00432100" w:rsidP="001F27D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F27D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ROSCORLA v THOMAS </w:t>
      </w:r>
      <w:r w:rsidR="00DD761D" w:rsidRPr="001F27D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(1842)</w:t>
      </w:r>
    </w:p>
    <w:p w14:paraId="1A57F5C9" w14:textId="70F2A8A8" w:rsidR="00D2671C" w:rsidRDefault="00D2671C" w:rsidP="0017185D">
      <w:pPr>
        <w:jc w:val="center"/>
        <w:rPr>
          <w:rFonts w:ascii="Times New Roman" w:hAnsi="Times New Roman" w:cs="Times New Roman"/>
        </w:rPr>
      </w:pPr>
      <w:r w:rsidRPr="00377BD2">
        <w:rPr>
          <w:rFonts w:ascii="Times New Roman" w:hAnsi="Times New Roman" w:cs="Times New Roman"/>
          <w:i/>
          <w:iCs/>
        </w:rPr>
        <w:t>Roscorla v Thomas</w:t>
      </w:r>
      <w:r w:rsidRPr="0017185D">
        <w:rPr>
          <w:rFonts w:ascii="Times New Roman" w:hAnsi="Times New Roman" w:cs="Times New Roman"/>
        </w:rPr>
        <w:t xml:space="preserve"> (1842</w:t>
      </w:r>
      <w:proofErr w:type="gramStart"/>
      <w:r w:rsidRPr="0017185D">
        <w:rPr>
          <w:rFonts w:ascii="Times New Roman" w:hAnsi="Times New Roman" w:cs="Times New Roman"/>
        </w:rPr>
        <w:t xml:space="preserve">) </w:t>
      </w:r>
      <w:r w:rsidR="00B82E91">
        <w:rPr>
          <w:rFonts w:ascii="Times New Roman" w:hAnsi="Times New Roman" w:cs="Times New Roman"/>
        </w:rPr>
        <w:t>,</w:t>
      </w:r>
      <w:proofErr w:type="gramEnd"/>
      <w:r w:rsidR="00B82E91">
        <w:rPr>
          <w:rFonts w:ascii="Times New Roman" w:hAnsi="Times New Roman" w:cs="Times New Roman"/>
        </w:rPr>
        <w:t xml:space="preserve"> </w:t>
      </w:r>
      <w:r w:rsidR="00B82E91" w:rsidRPr="00B82E91">
        <w:rPr>
          <w:rFonts w:ascii="Times New Roman" w:hAnsi="Times New Roman" w:cs="Times New Roman"/>
          <w:i/>
          <w:iCs/>
        </w:rPr>
        <w:t>3 QB 234; 114 ER 496</w:t>
      </w:r>
      <w:r w:rsidR="00B82E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185D">
        <w:rPr>
          <w:rFonts w:ascii="Times New Roman" w:hAnsi="Times New Roman" w:cs="Times New Roman"/>
        </w:rPr>
        <w:t xml:space="preserve">is a landmark </w:t>
      </w:r>
      <w:r w:rsidR="00331C68" w:rsidRPr="0017185D">
        <w:rPr>
          <w:rFonts w:ascii="Times New Roman" w:hAnsi="Times New Roman" w:cs="Times New Roman"/>
        </w:rPr>
        <w:t>case of “sufficiency of consideration”</w:t>
      </w:r>
      <w:r w:rsidR="00CC55CA" w:rsidRPr="0017185D">
        <w:rPr>
          <w:rFonts w:ascii="Times New Roman" w:hAnsi="Times New Roman" w:cs="Times New Roman"/>
        </w:rPr>
        <w:t>. It is a notable case in English contract law which shows that past conduct is insufficient consideration to support a valid contract.</w:t>
      </w:r>
    </w:p>
    <w:p w14:paraId="6B57116D" w14:textId="77777777" w:rsidR="0017185D" w:rsidRPr="0017185D" w:rsidRDefault="0017185D" w:rsidP="0017185D">
      <w:pPr>
        <w:jc w:val="center"/>
        <w:rPr>
          <w:rFonts w:ascii="Times New Roman" w:hAnsi="Times New Roman" w:cs="Times New Roman"/>
        </w:rPr>
      </w:pPr>
    </w:p>
    <w:p w14:paraId="575C3A5A" w14:textId="2E91831C" w:rsidR="00432100" w:rsidRPr="0017185D" w:rsidRDefault="00D2671C" w:rsidP="0017185D">
      <w:pPr>
        <w:jc w:val="center"/>
        <w:rPr>
          <w:rFonts w:ascii="Times New Roman" w:hAnsi="Times New Roman" w:cs="Times New Roman"/>
        </w:rPr>
      </w:pPr>
      <w:r w:rsidRPr="003D0778">
        <w:rPr>
          <w:rFonts w:ascii="Times New Roman" w:hAnsi="Times New Roman" w:cs="Times New Roman"/>
          <w:b/>
          <w:bCs/>
        </w:rPr>
        <w:t>FACTS</w:t>
      </w:r>
    </w:p>
    <w:p w14:paraId="4F8FE15C" w14:textId="6EE690D7" w:rsidR="009042A0" w:rsidRPr="0017185D" w:rsidRDefault="009042A0" w:rsidP="001718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The plaintiff, Roscorla bought a certain horse from Thomas, the </w:t>
      </w:r>
      <w:r w:rsidR="00377BD2">
        <w:rPr>
          <w:rFonts w:ascii="Times New Roman" w:hAnsi="Times New Roman" w:cs="Times New Roman"/>
        </w:rPr>
        <w:t xml:space="preserve">buyer </w:t>
      </w:r>
      <w:r w:rsidR="00377BD2" w:rsidRPr="0017185D">
        <w:rPr>
          <w:rFonts w:ascii="Times New Roman" w:hAnsi="Times New Roman" w:cs="Times New Roman"/>
        </w:rPr>
        <w:t>for</w:t>
      </w:r>
      <w:r w:rsidRPr="0017185D">
        <w:rPr>
          <w:rFonts w:ascii="Times New Roman" w:hAnsi="Times New Roman" w:cs="Times New Roman"/>
        </w:rPr>
        <w:t xml:space="preserve"> 30 euros.</w:t>
      </w:r>
    </w:p>
    <w:p w14:paraId="34DEF27F" w14:textId="04B240C7" w:rsidR="009042A0" w:rsidRPr="0017185D" w:rsidRDefault="009042A0" w:rsidP="001718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Prior to the sale being made, Thomas promised the buyer that the horse was less than 5 years old, sound and </w:t>
      </w:r>
      <w:r w:rsidR="00377BD2">
        <w:rPr>
          <w:rFonts w:ascii="Times New Roman" w:hAnsi="Times New Roman" w:cs="Times New Roman"/>
        </w:rPr>
        <w:t>‘</w:t>
      </w:r>
      <w:r w:rsidRPr="0017185D">
        <w:rPr>
          <w:rFonts w:ascii="Times New Roman" w:hAnsi="Times New Roman" w:cs="Times New Roman"/>
        </w:rPr>
        <w:t>free from vice</w:t>
      </w:r>
      <w:r w:rsidR="00377BD2">
        <w:rPr>
          <w:rFonts w:ascii="Times New Roman" w:hAnsi="Times New Roman" w:cs="Times New Roman"/>
        </w:rPr>
        <w:t>’</w:t>
      </w:r>
      <w:r w:rsidR="0042272F" w:rsidRPr="0017185D">
        <w:rPr>
          <w:rFonts w:ascii="Times New Roman" w:hAnsi="Times New Roman" w:cs="Times New Roman"/>
        </w:rPr>
        <w:t>.</w:t>
      </w:r>
    </w:p>
    <w:p w14:paraId="1C5C8702" w14:textId="42C8456B" w:rsidR="0042272F" w:rsidRPr="0017185D" w:rsidRDefault="0042272F" w:rsidP="001718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The plaintiff </w:t>
      </w:r>
      <w:r w:rsidR="00331C68" w:rsidRPr="0017185D">
        <w:rPr>
          <w:rFonts w:ascii="Times New Roman" w:hAnsi="Times New Roman" w:cs="Times New Roman"/>
        </w:rPr>
        <w:t>sued the defendant for breach of warranty</w:t>
      </w:r>
      <w:r w:rsidR="000C7FC2" w:rsidRPr="0017185D">
        <w:rPr>
          <w:rFonts w:ascii="Times New Roman" w:hAnsi="Times New Roman" w:cs="Times New Roman"/>
        </w:rPr>
        <w:t xml:space="preserve"> and fraud</w:t>
      </w:r>
      <w:r w:rsidR="00331C68" w:rsidRPr="0017185D">
        <w:rPr>
          <w:rFonts w:ascii="Times New Roman" w:hAnsi="Times New Roman" w:cs="Times New Roman"/>
        </w:rPr>
        <w:t xml:space="preserve"> because the </w:t>
      </w:r>
      <w:r w:rsidR="00B82E91">
        <w:rPr>
          <w:rFonts w:ascii="Times New Roman" w:hAnsi="Times New Roman" w:cs="Times New Roman"/>
        </w:rPr>
        <w:t xml:space="preserve">said </w:t>
      </w:r>
      <w:r w:rsidR="00331C68" w:rsidRPr="0017185D">
        <w:rPr>
          <w:rFonts w:ascii="Times New Roman" w:hAnsi="Times New Roman" w:cs="Times New Roman"/>
        </w:rPr>
        <w:t xml:space="preserve">horse </w:t>
      </w:r>
      <w:r w:rsidR="00377BD2">
        <w:rPr>
          <w:rFonts w:ascii="Times New Roman" w:hAnsi="Times New Roman" w:cs="Times New Roman"/>
        </w:rPr>
        <w:t>was, quoted-</w:t>
      </w:r>
      <w:r w:rsidR="00331C68" w:rsidRPr="0017185D">
        <w:rPr>
          <w:rFonts w:ascii="Times New Roman" w:hAnsi="Times New Roman" w:cs="Times New Roman"/>
        </w:rPr>
        <w:t xml:space="preserve"> ‘very vicious, ferocious, restive and ungovernable</w:t>
      </w:r>
      <w:r w:rsidR="00377BD2">
        <w:rPr>
          <w:rFonts w:ascii="Times New Roman" w:hAnsi="Times New Roman" w:cs="Times New Roman"/>
        </w:rPr>
        <w:t>’</w:t>
      </w:r>
      <w:r w:rsidR="00331C68" w:rsidRPr="0017185D">
        <w:rPr>
          <w:rFonts w:ascii="Times New Roman" w:hAnsi="Times New Roman" w:cs="Times New Roman"/>
        </w:rPr>
        <w:t>.</w:t>
      </w:r>
    </w:p>
    <w:p w14:paraId="4F89B7EC" w14:textId="06447F6F" w:rsidR="0084284E" w:rsidRDefault="0084284E" w:rsidP="0017185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The defendant argued that the contract excludes the promise as the claimant did not express any consideration for it.</w:t>
      </w:r>
    </w:p>
    <w:p w14:paraId="0CD96A1E" w14:textId="77777777" w:rsidR="0017185D" w:rsidRPr="0017185D" w:rsidRDefault="0017185D" w:rsidP="0017185D">
      <w:pPr>
        <w:pStyle w:val="ListParagraph"/>
        <w:rPr>
          <w:rFonts w:ascii="Times New Roman" w:hAnsi="Times New Roman" w:cs="Times New Roman"/>
        </w:rPr>
      </w:pPr>
    </w:p>
    <w:p w14:paraId="3D767ED8" w14:textId="1F5F82F2" w:rsidR="00331C68" w:rsidRPr="0017185D" w:rsidRDefault="00DD761D" w:rsidP="0017185D">
      <w:pPr>
        <w:jc w:val="center"/>
        <w:rPr>
          <w:rFonts w:ascii="Times New Roman" w:hAnsi="Times New Roman" w:cs="Times New Roman"/>
        </w:rPr>
      </w:pPr>
      <w:r w:rsidRPr="003D0778">
        <w:rPr>
          <w:rFonts w:ascii="Times New Roman" w:hAnsi="Times New Roman" w:cs="Times New Roman"/>
          <w:b/>
          <w:bCs/>
        </w:rPr>
        <w:t>ISSUE</w:t>
      </w:r>
    </w:p>
    <w:p w14:paraId="5DC17565" w14:textId="03EF5481" w:rsidR="000C7FC2" w:rsidRPr="0017185D" w:rsidRDefault="000C7FC2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Before starting with the issue, the concept of consideration should be explained for clarity.</w:t>
      </w:r>
    </w:p>
    <w:p w14:paraId="7A410C04" w14:textId="06D78E87" w:rsidR="00043A52" w:rsidRPr="0017185D" w:rsidRDefault="000C7FC2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Consideration: in English law, consideration is known as one of the three main parts of a legal contract. It is considered as the inducement that renders a promise as enforceable in a court of law.</w:t>
      </w:r>
      <w:r w:rsidR="00E3562D" w:rsidRPr="0017185D">
        <w:rPr>
          <w:rFonts w:ascii="Times New Roman" w:hAnsi="Times New Roman" w:cs="Times New Roman"/>
        </w:rPr>
        <w:t xml:space="preserve"> It is anything, an item or action, which both the parties to the contract must accept as </w:t>
      </w:r>
      <w:r w:rsidR="00B06C13" w:rsidRPr="0017185D">
        <w:rPr>
          <w:rFonts w:ascii="Times New Roman" w:hAnsi="Times New Roman" w:cs="Times New Roman"/>
        </w:rPr>
        <w:t>an exchange for a binding contract.</w:t>
      </w:r>
      <w:r w:rsidR="00E3562D" w:rsidRPr="0017185D">
        <w:rPr>
          <w:rFonts w:ascii="Times New Roman" w:hAnsi="Times New Roman" w:cs="Times New Roman"/>
        </w:rPr>
        <w:t xml:space="preserve"> </w:t>
      </w:r>
      <w:r w:rsidRPr="0017185D">
        <w:rPr>
          <w:rFonts w:ascii="Times New Roman" w:hAnsi="Times New Roman" w:cs="Times New Roman"/>
        </w:rPr>
        <w:t xml:space="preserve"> </w:t>
      </w:r>
      <w:r w:rsidR="00043A52" w:rsidRPr="0017185D">
        <w:rPr>
          <w:rFonts w:ascii="Times New Roman" w:hAnsi="Times New Roman" w:cs="Times New Roman"/>
        </w:rPr>
        <w:t>For example, in a contract for the trade of goods, delivery of money is the consideration to the supplier, whereas, the delivery of the goods is the consideration for the buyer.</w:t>
      </w:r>
    </w:p>
    <w:p w14:paraId="7ACFF0D0" w14:textId="0F89993B" w:rsidR="00AB40D9" w:rsidRPr="0017185D" w:rsidRDefault="00043A52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If only one party offers consideration and the other doesn’t, it does not constitute a legal </w:t>
      </w:r>
      <w:r w:rsidR="00E3562D" w:rsidRPr="0017185D">
        <w:rPr>
          <w:rFonts w:ascii="Times New Roman" w:hAnsi="Times New Roman" w:cs="Times New Roman"/>
        </w:rPr>
        <w:t xml:space="preserve">contract and cannot be enforceable. </w:t>
      </w:r>
      <w:r w:rsidR="00AB40D9" w:rsidRPr="0017185D">
        <w:rPr>
          <w:rFonts w:ascii="Times New Roman" w:hAnsi="Times New Roman" w:cs="Times New Roman"/>
        </w:rPr>
        <w:t>A person who has provided consideration in a contract can only enforce it.</w:t>
      </w:r>
    </w:p>
    <w:p w14:paraId="2709E0B5" w14:textId="2CC82109" w:rsidR="000C7FC2" w:rsidRPr="0017185D" w:rsidRDefault="00043A52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Now the issue-</w:t>
      </w:r>
    </w:p>
    <w:p w14:paraId="12882A38" w14:textId="14A81D61" w:rsidR="00DD761D" w:rsidRPr="0017185D" w:rsidRDefault="0084284E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Did the defendant provide a good and clear consideration for the promise that the horse was ‘free from vice’?</w:t>
      </w:r>
    </w:p>
    <w:p w14:paraId="541A94B7" w14:textId="29BC5D51" w:rsidR="0084284E" w:rsidRPr="0017185D" w:rsidRDefault="003B7B83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The Queen’s Bench ruled in the favour of the defendant. The </w:t>
      </w:r>
      <w:r w:rsidR="0017185D">
        <w:rPr>
          <w:rFonts w:ascii="Times New Roman" w:hAnsi="Times New Roman" w:cs="Times New Roman"/>
        </w:rPr>
        <w:t xml:space="preserve">plaintiff </w:t>
      </w:r>
      <w:r w:rsidR="0017185D" w:rsidRPr="0017185D">
        <w:rPr>
          <w:rFonts w:ascii="Times New Roman" w:hAnsi="Times New Roman" w:cs="Times New Roman"/>
        </w:rPr>
        <w:t>had</w:t>
      </w:r>
      <w:r w:rsidRPr="0017185D">
        <w:rPr>
          <w:rFonts w:ascii="Times New Roman" w:hAnsi="Times New Roman" w:cs="Times New Roman"/>
        </w:rPr>
        <w:t xml:space="preserve"> </w:t>
      </w:r>
      <w:r w:rsidR="0017185D">
        <w:rPr>
          <w:rFonts w:ascii="Times New Roman" w:hAnsi="Times New Roman" w:cs="Times New Roman"/>
        </w:rPr>
        <w:t>consented</w:t>
      </w:r>
      <w:r w:rsidRPr="0017185D">
        <w:rPr>
          <w:rFonts w:ascii="Times New Roman" w:hAnsi="Times New Roman" w:cs="Times New Roman"/>
        </w:rPr>
        <w:t xml:space="preserve"> to buy the horse already. His consideration was based on the promise made by the defendant after the offer was accepted. Hence, the promise was declared unenforceable.</w:t>
      </w:r>
    </w:p>
    <w:p w14:paraId="582BD99D" w14:textId="77777777" w:rsidR="00365086" w:rsidRPr="0017185D" w:rsidRDefault="00365086" w:rsidP="0017185D">
      <w:pPr>
        <w:jc w:val="center"/>
        <w:rPr>
          <w:rFonts w:ascii="Times New Roman" w:hAnsi="Times New Roman" w:cs="Times New Roman"/>
        </w:rPr>
      </w:pPr>
    </w:p>
    <w:p w14:paraId="20446339" w14:textId="7A9F40DE" w:rsidR="00AB40D9" w:rsidRPr="0017185D" w:rsidRDefault="00AB40D9" w:rsidP="0017185D">
      <w:pPr>
        <w:jc w:val="center"/>
        <w:rPr>
          <w:rFonts w:ascii="Times New Roman" w:hAnsi="Times New Roman" w:cs="Times New Roman"/>
        </w:rPr>
      </w:pPr>
    </w:p>
    <w:p w14:paraId="231294D1" w14:textId="77777777" w:rsidR="00A241F3" w:rsidRDefault="00A241F3" w:rsidP="00A241F3">
      <w:pPr>
        <w:rPr>
          <w:rFonts w:ascii="Times New Roman" w:hAnsi="Times New Roman" w:cs="Times New Roman"/>
        </w:rPr>
      </w:pPr>
    </w:p>
    <w:p w14:paraId="6C5BAAF7" w14:textId="77777777" w:rsidR="00EA47B5" w:rsidRDefault="00EA47B5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0E3CF" w14:textId="77777777" w:rsidR="00EA47B5" w:rsidRDefault="00EA47B5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7BDB" w14:textId="77777777" w:rsidR="00EA47B5" w:rsidRDefault="00EA47B5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28E7C" w14:textId="77777777" w:rsidR="00EA47B5" w:rsidRDefault="00EA47B5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AEAAC" w14:textId="77777777" w:rsidR="00EA47B5" w:rsidRDefault="00EA47B5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C56DB" w14:textId="77777777" w:rsidR="00EA47B5" w:rsidRDefault="00EA47B5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88992" w14:textId="702992A9" w:rsidR="00AB40D9" w:rsidRPr="003D0778" w:rsidRDefault="003D0778" w:rsidP="00A241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617ACEC6" w14:textId="675B5519" w:rsidR="00AB40D9" w:rsidRPr="0017185D" w:rsidRDefault="00C354EB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While the proceedings were underway</w:t>
      </w:r>
      <w:r w:rsidR="00AB40D9" w:rsidRPr="0017185D">
        <w:rPr>
          <w:rFonts w:ascii="Times New Roman" w:hAnsi="Times New Roman" w:cs="Times New Roman"/>
        </w:rPr>
        <w:t xml:space="preserve">, before Judge, </w:t>
      </w:r>
      <w:r w:rsidR="00AB40D9" w:rsidRPr="0020334C">
        <w:rPr>
          <w:rFonts w:ascii="Times New Roman" w:hAnsi="Times New Roman" w:cs="Times New Roman"/>
          <w:i/>
          <w:iCs/>
        </w:rPr>
        <w:t xml:space="preserve">Wightman </w:t>
      </w:r>
      <w:r w:rsidR="0020334C" w:rsidRPr="0020334C">
        <w:rPr>
          <w:rFonts w:ascii="Times New Roman" w:hAnsi="Times New Roman" w:cs="Times New Roman"/>
          <w:i/>
          <w:iCs/>
        </w:rPr>
        <w:t>J. (</w:t>
      </w:r>
      <w:r w:rsidR="00AB40D9" w:rsidRPr="0020334C">
        <w:rPr>
          <w:rFonts w:ascii="Times New Roman" w:hAnsi="Times New Roman" w:cs="Times New Roman"/>
          <w:i/>
          <w:iCs/>
        </w:rPr>
        <w:t>1841),</w:t>
      </w:r>
      <w:r w:rsidR="00AB40D9" w:rsidRPr="0017185D">
        <w:rPr>
          <w:rFonts w:ascii="Times New Roman" w:hAnsi="Times New Roman" w:cs="Times New Roman"/>
        </w:rPr>
        <w:t xml:space="preserve"> a verdict was ruled for the </w:t>
      </w:r>
      <w:r w:rsidR="00377BD2">
        <w:rPr>
          <w:rFonts w:ascii="Times New Roman" w:hAnsi="Times New Roman" w:cs="Times New Roman"/>
        </w:rPr>
        <w:t>claimant</w:t>
      </w:r>
      <w:r w:rsidR="00AB40D9" w:rsidRPr="0017185D">
        <w:rPr>
          <w:rFonts w:ascii="Times New Roman" w:hAnsi="Times New Roman" w:cs="Times New Roman"/>
        </w:rPr>
        <w:t xml:space="preserve"> </w:t>
      </w:r>
      <w:r w:rsidRPr="0017185D">
        <w:rPr>
          <w:rFonts w:ascii="Times New Roman" w:hAnsi="Times New Roman" w:cs="Times New Roman"/>
        </w:rPr>
        <w:t>on</w:t>
      </w:r>
      <w:r w:rsidR="00AB40D9" w:rsidRPr="0017185D">
        <w:rPr>
          <w:rFonts w:ascii="Times New Roman" w:hAnsi="Times New Roman" w:cs="Times New Roman"/>
        </w:rPr>
        <w:t xml:space="preserve"> </w:t>
      </w:r>
      <w:r w:rsidR="00365086" w:rsidRPr="0017185D">
        <w:rPr>
          <w:rFonts w:ascii="Times New Roman" w:hAnsi="Times New Roman" w:cs="Times New Roman"/>
        </w:rPr>
        <w:t xml:space="preserve">the </w:t>
      </w:r>
      <w:r w:rsidRPr="0017185D">
        <w:rPr>
          <w:rFonts w:ascii="Times New Roman" w:hAnsi="Times New Roman" w:cs="Times New Roman"/>
        </w:rPr>
        <w:t>mentioned</w:t>
      </w:r>
      <w:r w:rsidR="00AB40D9" w:rsidRPr="0017185D">
        <w:rPr>
          <w:rFonts w:ascii="Times New Roman" w:hAnsi="Times New Roman" w:cs="Times New Roman"/>
        </w:rPr>
        <w:t xml:space="preserve"> issues</w:t>
      </w:r>
      <w:r w:rsidR="00C6689B" w:rsidRPr="0017185D">
        <w:rPr>
          <w:rFonts w:ascii="Times New Roman" w:hAnsi="Times New Roman" w:cs="Times New Roman"/>
        </w:rPr>
        <w:t>.</w:t>
      </w:r>
    </w:p>
    <w:p w14:paraId="006CB678" w14:textId="616C8775" w:rsidR="00C6689B" w:rsidRPr="0017185D" w:rsidRDefault="00C6689B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An objection relating to a nudum pactum (an agreement made sans consideration and hence is unenforceable) was raised.</w:t>
      </w:r>
    </w:p>
    <w:p w14:paraId="5A1148E0" w14:textId="752CCDF6" w:rsidR="00C6689B" w:rsidRPr="0017185D" w:rsidRDefault="00106DC6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>The following cases were cited in the proceedings</w:t>
      </w:r>
      <w:r w:rsidR="00C6689B" w:rsidRPr="0017185D">
        <w:rPr>
          <w:rFonts w:ascii="Times New Roman" w:hAnsi="Times New Roman" w:cs="Times New Roman"/>
        </w:rPr>
        <w:t xml:space="preserve">: </w:t>
      </w:r>
      <w:r w:rsidR="00C6689B" w:rsidRPr="0020334C">
        <w:rPr>
          <w:rFonts w:ascii="Times New Roman" w:hAnsi="Times New Roman" w:cs="Times New Roman"/>
          <w:i/>
          <w:iCs/>
        </w:rPr>
        <w:t>Osborne v</w:t>
      </w:r>
      <w:r w:rsidRPr="0020334C">
        <w:rPr>
          <w:rFonts w:ascii="Times New Roman" w:hAnsi="Times New Roman" w:cs="Times New Roman"/>
          <w:i/>
          <w:iCs/>
        </w:rPr>
        <w:t>.</w:t>
      </w:r>
      <w:r w:rsidR="00C6689B" w:rsidRPr="0020334C">
        <w:rPr>
          <w:rFonts w:ascii="Times New Roman" w:hAnsi="Times New Roman" w:cs="Times New Roman"/>
          <w:i/>
          <w:iCs/>
        </w:rPr>
        <w:t xml:space="preserve"> Rogers </w:t>
      </w:r>
      <w:r w:rsidR="00C354EB" w:rsidRPr="0020334C">
        <w:rPr>
          <w:rStyle w:val="FootnoteReference"/>
          <w:rFonts w:ascii="Times New Roman" w:hAnsi="Times New Roman" w:cs="Times New Roman"/>
          <w:i/>
          <w:iCs/>
        </w:rPr>
        <w:footnoteReference w:id="1"/>
      </w:r>
      <w:r w:rsidR="00C6689B" w:rsidRPr="0020334C">
        <w:rPr>
          <w:rFonts w:ascii="Times New Roman" w:hAnsi="Times New Roman" w:cs="Times New Roman"/>
          <w:i/>
          <w:iCs/>
        </w:rPr>
        <w:t>(1 Wms, Saund, 264 a) and Payne v. Wilson (7 B. &amp; C. 423)</w:t>
      </w:r>
      <w:r w:rsidR="00C354EB" w:rsidRPr="0020334C">
        <w:rPr>
          <w:rStyle w:val="FootnoteReference"/>
          <w:rFonts w:ascii="Times New Roman" w:hAnsi="Times New Roman" w:cs="Times New Roman"/>
          <w:i/>
          <w:iCs/>
        </w:rPr>
        <w:footnoteReference w:id="2"/>
      </w:r>
      <w:r w:rsidR="00C6689B" w:rsidRPr="0020334C">
        <w:rPr>
          <w:rFonts w:ascii="Times New Roman" w:hAnsi="Times New Roman" w:cs="Times New Roman"/>
          <w:i/>
          <w:iCs/>
        </w:rPr>
        <w:t xml:space="preserve"> </w:t>
      </w:r>
      <w:r w:rsidR="0096323C" w:rsidRPr="0017185D">
        <w:rPr>
          <w:rFonts w:ascii="Times New Roman" w:hAnsi="Times New Roman" w:cs="Times New Roman"/>
        </w:rPr>
        <w:t>should be considered to understand this case. In both of these cases, the respective consideration was executory and hence was declared as executory</w:t>
      </w:r>
      <w:r w:rsidR="00DF5F2C" w:rsidRPr="0017185D">
        <w:rPr>
          <w:rFonts w:ascii="Times New Roman" w:hAnsi="Times New Roman" w:cs="Times New Roman"/>
        </w:rPr>
        <w:t xml:space="preserve"> because the consideration was continuing. In another case, </w:t>
      </w:r>
      <w:r w:rsidR="00DF5F2C" w:rsidRPr="0020334C">
        <w:rPr>
          <w:rFonts w:ascii="Times New Roman" w:hAnsi="Times New Roman" w:cs="Times New Roman"/>
          <w:i/>
          <w:iCs/>
        </w:rPr>
        <w:t>Thornton v. Jenyns (1 Man. &amp; G. 166)</w:t>
      </w:r>
      <w:r w:rsidR="00C354EB" w:rsidRPr="0020334C">
        <w:rPr>
          <w:rStyle w:val="FootnoteReference"/>
          <w:rFonts w:ascii="Times New Roman" w:hAnsi="Times New Roman" w:cs="Times New Roman"/>
          <w:i/>
          <w:iCs/>
        </w:rPr>
        <w:footnoteReference w:id="3"/>
      </w:r>
      <w:r w:rsidR="00DF5F2C" w:rsidRPr="0020334C">
        <w:rPr>
          <w:rFonts w:ascii="Times New Roman" w:hAnsi="Times New Roman" w:cs="Times New Roman"/>
          <w:i/>
          <w:iCs/>
        </w:rPr>
        <w:t>,</w:t>
      </w:r>
      <w:r w:rsidR="00DF5F2C" w:rsidRPr="0017185D">
        <w:rPr>
          <w:rFonts w:ascii="Times New Roman" w:hAnsi="Times New Roman" w:cs="Times New Roman"/>
        </w:rPr>
        <w:t xml:space="preserve"> </w:t>
      </w:r>
      <w:r w:rsidR="00342945" w:rsidRPr="0017185D">
        <w:rPr>
          <w:rFonts w:ascii="Times New Roman" w:hAnsi="Times New Roman" w:cs="Times New Roman"/>
        </w:rPr>
        <w:t xml:space="preserve">in the consideration, the plaintiff promised the defendant and then the vice-versa, the defendant promised the plaintiff. It was ruled in this particular case that the consideration was </w:t>
      </w:r>
      <w:r w:rsidR="00C354EB" w:rsidRPr="0017185D">
        <w:rPr>
          <w:rFonts w:ascii="Times New Roman" w:hAnsi="Times New Roman" w:cs="Times New Roman"/>
        </w:rPr>
        <w:t>carried out</w:t>
      </w:r>
      <w:r w:rsidR="00342945" w:rsidRPr="0017185D">
        <w:rPr>
          <w:rFonts w:ascii="Times New Roman" w:hAnsi="Times New Roman" w:cs="Times New Roman"/>
        </w:rPr>
        <w:t xml:space="preserve"> without a request </w:t>
      </w:r>
      <w:r w:rsidRPr="0017185D">
        <w:rPr>
          <w:rFonts w:ascii="Times New Roman" w:hAnsi="Times New Roman" w:cs="Times New Roman"/>
        </w:rPr>
        <w:t xml:space="preserve">which was ruled as insufficient for a valid contract. </w:t>
      </w:r>
      <w:r w:rsidR="003B764E" w:rsidRPr="0017185D">
        <w:rPr>
          <w:rFonts w:ascii="Times New Roman" w:hAnsi="Times New Roman" w:cs="Times New Roman"/>
        </w:rPr>
        <w:t xml:space="preserve">It was </w:t>
      </w:r>
      <w:r w:rsidR="00C354EB" w:rsidRPr="0017185D">
        <w:rPr>
          <w:rFonts w:ascii="Times New Roman" w:hAnsi="Times New Roman" w:cs="Times New Roman"/>
        </w:rPr>
        <w:t>ruled</w:t>
      </w:r>
      <w:r w:rsidRPr="0017185D">
        <w:rPr>
          <w:rFonts w:ascii="Times New Roman" w:hAnsi="Times New Roman" w:cs="Times New Roman"/>
        </w:rPr>
        <w:t xml:space="preserve"> that the two promises must be considered simultaneously.</w:t>
      </w:r>
    </w:p>
    <w:p w14:paraId="6C37C90E" w14:textId="52E65AC4" w:rsidR="00764728" w:rsidRPr="0017185D" w:rsidRDefault="00764728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Lord Denman C. J. </w:t>
      </w:r>
      <w:r w:rsidR="003A2953" w:rsidRPr="0017185D">
        <w:rPr>
          <w:rFonts w:ascii="Times New Roman" w:hAnsi="Times New Roman" w:cs="Times New Roman"/>
        </w:rPr>
        <w:t>was the judge who</w:t>
      </w:r>
      <w:r w:rsidRPr="0017185D">
        <w:rPr>
          <w:rFonts w:ascii="Times New Roman" w:hAnsi="Times New Roman" w:cs="Times New Roman"/>
        </w:rPr>
        <w:t xml:space="preserve"> delivered the judgment of Roscorla v. Thomas on May 30</w:t>
      </w:r>
      <w:r w:rsidRPr="0017185D">
        <w:rPr>
          <w:rFonts w:ascii="Times New Roman" w:hAnsi="Times New Roman" w:cs="Times New Roman"/>
          <w:vertAlign w:val="superscript"/>
        </w:rPr>
        <w:t>th</w:t>
      </w:r>
      <w:r w:rsidRPr="0017185D">
        <w:rPr>
          <w:rFonts w:ascii="Times New Roman" w:hAnsi="Times New Roman" w:cs="Times New Roman"/>
        </w:rPr>
        <w:t>, 184</w:t>
      </w:r>
      <w:r w:rsidR="003B764E" w:rsidRPr="0017185D">
        <w:rPr>
          <w:rFonts w:ascii="Times New Roman" w:hAnsi="Times New Roman" w:cs="Times New Roman"/>
        </w:rPr>
        <w:t>2</w:t>
      </w:r>
      <w:r w:rsidRPr="0017185D">
        <w:rPr>
          <w:rFonts w:ascii="Times New Roman" w:hAnsi="Times New Roman" w:cs="Times New Roman"/>
        </w:rPr>
        <w:t>-</w:t>
      </w:r>
    </w:p>
    <w:p w14:paraId="313D0B27" w14:textId="0ADC4627" w:rsidR="00764728" w:rsidRPr="0017185D" w:rsidRDefault="00764728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The aforementioned dispute was based on an action of assumpsit (an implied or express promise or contract not under seal on which an action may be brought) </w:t>
      </w:r>
      <w:r w:rsidR="007C6F99" w:rsidRPr="0017185D">
        <w:rPr>
          <w:rFonts w:ascii="Times New Roman" w:hAnsi="Times New Roman" w:cs="Times New Roman"/>
        </w:rPr>
        <w:t xml:space="preserve">for a breach of warranty by the defendant for the soundness of the horse. The plaintiff, on request of the </w:t>
      </w:r>
      <w:r w:rsidR="003A2953" w:rsidRPr="0017185D">
        <w:rPr>
          <w:rFonts w:ascii="Times New Roman" w:hAnsi="Times New Roman" w:cs="Times New Roman"/>
        </w:rPr>
        <w:t xml:space="preserve">offeror </w:t>
      </w:r>
      <w:r w:rsidR="007C6F99" w:rsidRPr="0017185D">
        <w:rPr>
          <w:rFonts w:ascii="Times New Roman" w:hAnsi="Times New Roman" w:cs="Times New Roman"/>
        </w:rPr>
        <w:t xml:space="preserve">bought the horse for the certain amount of money (30 Euros). The </w:t>
      </w:r>
      <w:r w:rsidR="003B764E" w:rsidRPr="0017185D">
        <w:rPr>
          <w:rFonts w:ascii="Times New Roman" w:hAnsi="Times New Roman" w:cs="Times New Roman"/>
        </w:rPr>
        <w:t>seller</w:t>
      </w:r>
      <w:r w:rsidR="007C6F99" w:rsidRPr="0017185D">
        <w:rPr>
          <w:rFonts w:ascii="Times New Roman" w:hAnsi="Times New Roman" w:cs="Times New Roman"/>
        </w:rPr>
        <w:t xml:space="preserve"> promised</w:t>
      </w:r>
      <w:r w:rsidR="0020334C">
        <w:rPr>
          <w:rFonts w:ascii="Times New Roman" w:hAnsi="Times New Roman" w:cs="Times New Roman"/>
        </w:rPr>
        <w:t xml:space="preserve"> the buyer that the respective horse was healthy, sound and ‘free from vice’</w:t>
      </w:r>
      <w:r w:rsidR="007C6F99" w:rsidRPr="0017185D">
        <w:rPr>
          <w:rFonts w:ascii="Times New Roman" w:hAnsi="Times New Roman" w:cs="Times New Roman"/>
        </w:rPr>
        <w:t xml:space="preserve">. </w:t>
      </w:r>
      <w:r w:rsidR="00365D29" w:rsidRPr="0017185D">
        <w:rPr>
          <w:rFonts w:ascii="Times New Roman" w:hAnsi="Times New Roman" w:cs="Times New Roman"/>
        </w:rPr>
        <w:t xml:space="preserve">It was rightfully objected that the previously executed consideration was </w:t>
      </w:r>
      <w:r w:rsidR="003B764E" w:rsidRPr="0017185D">
        <w:rPr>
          <w:rFonts w:ascii="Times New Roman" w:hAnsi="Times New Roman" w:cs="Times New Roman"/>
        </w:rPr>
        <w:t>not sufficient</w:t>
      </w:r>
      <w:r w:rsidR="00365D29" w:rsidRPr="0017185D">
        <w:rPr>
          <w:rFonts w:ascii="Times New Roman" w:hAnsi="Times New Roman" w:cs="Times New Roman"/>
        </w:rPr>
        <w:t xml:space="preserve"> to support the subsequent promise.</w:t>
      </w:r>
    </w:p>
    <w:p w14:paraId="7C74635E" w14:textId="1634B3D7" w:rsidR="00365D29" w:rsidRPr="0017185D" w:rsidRDefault="00365D29" w:rsidP="0017185D">
      <w:pPr>
        <w:jc w:val="center"/>
        <w:rPr>
          <w:rFonts w:ascii="Times New Roman" w:hAnsi="Times New Roman" w:cs="Times New Roman"/>
        </w:rPr>
      </w:pPr>
      <w:r w:rsidRPr="0017185D">
        <w:rPr>
          <w:rFonts w:ascii="Times New Roman" w:hAnsi="Times New Roman" w:cs="Times New Roman"/>
        </w:rPr>
        <w:t xml:space="preserve">The judge assumed that, subject to specific exceptions in other cases, the promise must be </w:t>
      </w:r>
      <w:r w:rsidR="0020334C">
        <w:rPr>
          <w:rFonts w:ascii="Times New Roman" w:hAnsi="Times New Roman" w:cs="Times New Roman"/>
        </w:rPr>
        <w:t>‘</w:t>
      </w:r>
      <w:r w:rsidRPr="0017185D">
        <w:rPr>
          <w:rFonts w:ascii="Times New Roman" w:hAnsi="Times New Roman" w:cs="Times New Roman"/>
        </w:rPr>
        <w:t>coextensive</w:t>
      </w:r>
      <w:r w:rsidR="0020334C">
        <w:rPr>
          <w:rFonts w:ascii="Times New Roman" w:hAnsi="Times New Roman" w:cs="Times New Roman"/>
        </w:rPr>
        <w:t xml:space="preserve"> </w:t>
      </w:r>
      <w:r w:rsidRPr="0017185D">
        <w:rPr>
          <w:rFonts w:ascii="Times New Roman" w:hAnsi="Times New Roman" w:cs="Times New Roman"/>
        </w:rPr>
        <w:t>with the consideration</w:t>
      </w:r>
      <w:r w:rsidR="0020334C">
        <w:rPr>
          <w:rFonts w:ascii="Times New Roman" w:hAnsi="Times New Roman" w:cs="Times New Roman"/>
        </w:rPr>
        <w:t>’</w:t>
      </w:r>
      <w:r w:rsidR="003B764E" w:rsidRPr="0017185D">
        <w:rPr>
          <w:rStyle w:val="FootnoteReference"/>
          <w:rFonts w:ascii="Times New Roman" w:hAnsi="Times New Roman" w:cs="Times New Roman"/>
        </w:rPr>
        <w:footnoteReference w:id="4"/>
      </w:r>
      <w:r w:rsidRPr="0017185D">
        <w:rPr>
          <w:rFonts w:ascii="Times New Roman" w:hAnsi="Times New Roman" w:cs="Times New Roman"/>
        </w:rPr>
        <w:t xml:space="preserve">. In this case, however, the consideration only supports the promise relating to the delivery of the horse to the claimant which was executed. The </w:t>
      </w:r>
      <w:r w:rsidR="00604BD8" w:rsidRPr="0017185D">
        <w:rPr>
          <w:rFonts w:ascii="Times New Roman" w:hAnsi="Times New Roman" w:cs="Times New Roman"/>
        </w:rPr>
        <w:t>subsequent claim of warranty will therefore raise no implied promise on the part of the defendant.</w:t>
      </w:r>
    </w:p>
    <w:p w14:paraId="0A06746E" w14:textId="77777777" w:rsidR="00043A52" w:rsidRPr="0017185D" w:rsidRDefault="00043A52" w:rsidP="00DD761D">
      <w:pPr>
        <w:rPr>
          <w:rFonts w:ascii="Times New Roman" w:hAnsi="Times New Roman" w:cs="Times New Roman"/>
        </w:rPr>
      </w:pPr>
    </w:p>
    <w:p w14:paraId="1EC80199" w14:textId="77777777" w:rsidR="00DD761D" w:rsidRPr="0017185D" w:rsidRDefault="00DD761D" w:rsidP="00DD761D">
      <w:pPr>
        <w:rPr>
          <w:rFonts w:ascii="Times New Roman" w:hAnsi="Times New Roman" w:cs="Times New Roman"/>
        </w:rPr>
      </w:pPr>
    </w:p>
    <w:p w14:paraId="0153D92A" w14:textId="77777777" w:rsidR="00D2671C" w:rsidRPr="0017185D" w:rsidRDefault="00D2671C">
      <w:pPr>
        <w:rPr>
          <w:rFonts w:ascii="Times New Roman" w:hAnsi="Times New Roman" w:cs="Times New Roman"/>
        </w:rPr>
      </w:pPr>
    </w:p>
    <w:sectPr w:rsidR="00D2671C" w:rsidRPr="001718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40148" w14:textId="77777777" w:rsidR="000A2AB7" w:rsidRDefault="000A2AB7" w:rsidP="00C354EB">
      <w:pPr>
        <w:spacing w:after="0" w:line="240" w:lineRule="auto"/>
      </w:pPr>
      <w:r>
        <w:separator/>
      </w:r>
    </w:p>
  </w:endnote>
  <w:endnote w:type="continuationSeparator" w:id="0">
    <w:p w14:paraId="424FBCAB" w14:textId="77777777" w:rsidR="000A2AB7" w:rsidRDefault="000A2AB7" w:rsidP="00C3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383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6BDF8" w14:textId="22AEAA9A" w:rsidR="003D0778" w:rsidRDefault="003D0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4E58E" w14:textId="77777777" w:rsidR="003D0778" w:rsidRDefault="003D0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2C4C" w14:textId="77777777" w:rsidR="000A2AB7" w:rsidRDefault="000A2AB7" w:rsidP="00C354EB">
      <w:pPr>
        <w:spacing w:after="0" w:line="240" w:lineRule="auto"/>
      </w:pPr>
      <w:r>
        <w:separator/>
      </w:r>
    </w:p>
  </w:footnote>
  <w:footnote w:type="continuationSeparator" w:id="0">
    <w:p w14:paraId="3C044750" w14:textId="77777777" w:rsidR="000A2AB7" w:rsidRDefault="000A2AB7" w:rsidP="00C354EB">
      <w:pPr>
        <w:spacing w:after="0" w:line="240" w:lineRule="auto"/>
      </w:pPr>
      <w:r>
        <w:continuationSeparator/>
      </w:r>
    </w:p>
  </w:footnote>
  <w:footnote w:id="1">
    <w:p w14:paraId="2DAD081E" w14:textId="419DE3F7" w:rsidR="00C354EB" w:rsidRDefault="00C354EB">
      <w:pPr>
        <w:pStyle w:val="FootnoteText"/>
      </w:pPr>
      <w:r>
        <w:rPr>
          <w:rStyle w:val="FootnoteReference"/>
        </w:rPr>
        <w:footnoteRef/>
      </w:r>
      <w:r>
        <w:t xml:space="preserve"> Osborne v. Rogers ,1 Wms, Saund, 264 a</w:t>
      </w:r>
    </w:p>
    <w:p w14:paraId="07F7B702" w14:textId="77777777" w:rsidR="00C354EB" w:rsidRDefault="00C354EB">
      <w:pPr>
        <w:pStyle w:val="FootnoteText"/>
      </w:pPr>
    </w:p>
  </w:footnote>
  <w:footnote w:id="2">
    <w:p w14:paraId="376FCB6C" w14:textId="614C34D9" w:rsidR="00C354EB" w:rsidRDefault="00C354EB">
      <w:pPr>
        <w:pStyle w:val="FootnoteText"/>
      </w:pPr>
      <w:r>
        <w:rPr>
          <w:rStyle w:val="FootnoteReference"/>
        </w:rPr>
        <w:footnoteRef/>
      </w:r>
      <w:r>
        <w:t xml:space="preserve"> Payne v. Wilson ,7 B. &amp; C. 423 </w:t>
      </w:r>
    </w:p>
  </w:footnote>
  <w:footnote w:id="3">
    <w:p w14:paraId="2A025B4B" w14:textId="0D0E5461" w:rsidR="00C354EB" w:rsidRDefault="00C354EB">
      <w:pPr>
        <w:pStyle w:val="FootnoteText"/>
      </w:pPr>
      <w:r>
        <w:rPr>
          <w:rStyle w:val="FootnoteReference"/>
        </w:rPr>
        <w:footnoteRef/>
      </w:r>
      <w:r>
        <w:t xml:space="preserve"> Thornton v. Jenyns, 1 Man. &amp; G. 166</w:t>
      </w:r>
    </w:p>
  </w:footnote>
  <w:footnote w:id="4">
    <w:p w14:paraId="0690C89E" w14:textId="7D8BB60F" w:rsidR="003B764E" w:rsidRDefault="003B764E">
      <w:pPr>
        <w:pStyle w:val="FootnoteText"/>
      </w:pPr>
      <w:r>
        <w:rPr>
          <w:rStyle w:val="FootnoteReference"/>
        </w:rPr>
        <w:footnoteRef/>
      </w:r>
      <w:r>
        <w:t xml:space="preserve"> Roscorla v. Thomas, </w:t>
      </w:r>
      <w:r w:rsidR="0017185D" w:rsidRPr="0017185D">
        <w:t>[1842] EWHC QB J74</w:t>
      </w:r>
      <w:r w:rsidR="0017185D">
        <w:t xml:space="preserve">, </w:t>
      </w:r>
      <w:r w:rsidR="0017185D" w:rsidRPr="0017185D">
        <w:t>https://bruneis.bailii.org/cgi-bin/</w:t>
      </w:r>
      <w:r w:rsidR="0017185D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5577"/>
    <w:multiLevelType w:val="hybridMultilevel"/>
    <w:tmpl w:val="0A76B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00"/>
    <w:rsid w:val="00043A52"/>
    <w:rsid w:val="000A2AB7"/>
    <w:rsid w:val="000C7FC2"/>
    <w:rsid w:val="00106DC6"/>
    <w:rsid w:val="0017185D"/>
    <w:rsid w:val="0019735B"/>
    <w:rsid w:val="001A42E4"/>
    <w:rsid w:val="001C3B2F"/>
    <w:rsid w:val="001F27DE"/>
    <w:rsid w:val="0020334C"/>
    <w:rsid w:val="00331C68"/>
    <w:rsid w:val="00342945"/>
    <w:rsid w:val="00365086"/>
    <w:rsid w:val="00365D29"/>
    <w:rsid w:val="00377BD2"/>
    <w:rsid w:val="003A2953"/>
    <w:rsid w:val="003B764E"/>
    <w:rsid w:val="003B7B83"/>
    <w:rsid w:val="003D0778"/>
    <w:rsid w:val="0042272F"/>
    <w:rsid w:val="00432100"/>
    <w:rsid w:val="00582F98"/>
    <w:rsid w:val="00604BD8"/>
    <w:rsid w:val="00764728"/>
    <w:rsid w:val="007C6F99"/>
    <w:rsid w:val="0083561A"/>
    <w:rsid w:val="0084284E"/>
    <w:rsid w:val="0088771F"/>
    <w:rsid w:val="009042A0"/>
    <w:rsid w:val="0096323C"/>
    <w:rsid w:val="00A241F3"/>
    <w:rsid w:val="00AB40D9"/>
    <w:rsid w:val="00B06C13"/>
    <w:rsid w:val="00B82E91"/>
    <w:rsid w:val="00B87030"/>
    <w:rsid w:val="00C354EB"/>
    <w:rsid w:val="00C6689B"/>
    <w:rsid w:val="00CC55CA"/>
    <w:rsid w:val="00D2671C"/>
    <w:rsid w:val="00DD761D"/>
    <w:rsid w:val="00DF5F2C"/>
    <w:rsid w:val="00E1778D"/>
    <w:rsid w:val="00E3562D"/>
    <w:rsid w:val="00EA47B5"/>
    <w:rsid w:val="00F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DC72"/>
  <w15:chartTrackingRefBased/>
  <w15:docId w15:val="{7577F0E6-A22E-4DCF-B949-8F5EB718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54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54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4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1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778"/>
  </w:style>
  <w:style w:type="paragraph" w:styleId="Footer">
    <w:name w:val="footer"/>
    <w:basedOn w:val="Normal"/>
    <w:link w:val="FooterChar"/>
    <w:uiPriority w:val="99"/>
    <w:unhideWhenUsed/>
    <w:rsid w:val="003D0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9886-4766-4866-9AAE-C6CE8C82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Puri</dc:creator>
  <cp:keywords/>
  <dc:description/>
  <cp:lastModifiedBy>Disha Puri</cp:lastModifiedBy>
  <cp:revision>12</cp:revision>
  <dcterms:created xsi:type="dcterms:W3CDTF">2021-11-22T08:50:00Z</dcterms:created>
  <dcterms:modified xsi:type="dcterms:W3CDTF">2022-02-28T19:15:00Z</dcterms:modified>
</cp:coreProperties>
</file>