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u w:val="single"/>
        </w:rPr>
      </w:pPr>
      <w:r w:rsidDel="00000000" w:rsidR="00000000" w:rsidRPr="00000000">
        <w:rPr>
          <w:b w:val="1"/>
          <w:sz w:val="40"/>
          <w:szCs w:val="40"/>
          <w:u w:val="single"/>
          <w:rtl w:val="0"/>
        </w:rPr>
        <w:t xml:space="preserve">Lab 2: Introduction to Remix</w:t>
      </w:r>
    </w:p>
    <w:p w:rsidR="00000000" w:rsidDel="00000000" w:rsidP="00000000" w:rsidRDefault="00000000" w:rsidRPr="00000000" w14:paraId="00000002">
      <w:pPr>
        <w:spacing w:after="240" w:before="240" w:lineRule="auto"/>
        <w:jc w:val="center"/>
        <w:rPr>
          <w:b w:val="1"/>
          <w:sz w:val="40"/>
          <w:szCs w:val="40"/>
          <w:u w:val="single"/>
        </w:rPr>
      </w:pPr>
      <w:r w:rsidDel="00000000" w:rsidR="00000000" w:rsidRPr="00000000">
        <w:rPr>
          <w:b w:val="1"/>
          <w:sz w:val="40"/>
          <w:szCs w:val="40"/>
          <w:u w:val="single"/>
          <w:rtl w:val="0"/>
        </w:rPr>
        <w:t xml:space="preserve"> </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Miguel Mateos Matías migmat05@ucm.es</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Adrián Pérez Peinador </w:t>
      </w:r>
      <w:hyperlink r:id="rId6">
        <w:r w:rsidDel="00000000" w:rsidR="00000000" w:rsidRPr="00000000">
          <w:rPr>
            <w:color w:val="1155cc"/>
            <w:sz w:val="28"/>
            <w:szCs w:val="28"/>
            <w:u w:val="single"/>
            <w:rtl w:val="0"/>
          </w:rPr>
          <w:t xml:space="preserve">adpere08@ucm.es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75"/>
        <w:gridCol w:w="2925"/>
        <w:gridCol w:w="1800"/>
        <w:gridCol w:w="1800"/>
        <w:tblGridChange w:id="0">
          <w:tblGrid>
            <w:gridCol w:w="1200"/>
            <w:gridCol w:w="1275"/>
            <w:gridCol w:w="2925"/>
            <w:gridCol w:w="1800"/>
            <w:gridCol w:w="18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addClient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PiggyArray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PiggyMapping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0x4B20993Bc481177ec7E8f571ceCaE8A9e22C02db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89667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45326 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0x78731D3Ca6b7E34aC0F824c42a7cC18A495cabaB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72567 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45326 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Jaimito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0x617F2E2fD72FD9D5503197092aC168c91465E7f2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72567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45326 gas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Ejercicio 4. Ahora utiliza la función getBalance para obtener el saldo de algunos clientes y registra el coste de ejecución en gas de esta función. Utiliza una nueva cuenta Ethereum que no hayas utilizado antes para obtener el balance de “Silvestre”, un usuario que no se ha añadido a ninguna de las dos huchas. Rellena la siguiente tabla:</w:t>
      </w:r>
    </w:p>
    <w:p w:rsidR="00000000" w:rsidDel="00000000" w:rsidP="00000000" w:rsidRDefault="00000000" w:rsidRPr="00000000" w14:paraId="00000022">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005"/>
        <w:gridCol w:w="1755"/>
        <w:gridCol w:w="1905"/>
        <w:tblGridChange w:id="0">
          <w:tblGrid>
            <w:gridCol w:w="1275"/>
            <w:gridCol w:w="4005"/>
            <w:gridCol w:w="1755"/>
            <w:gridCol w:w="19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getBalance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b w:val="1"/>
              </w:rPr>
            </w:pPr>
            <w:r w:rsidDel="00000000" w:rsidR="00000000" w:rsidRPr="00000000">
              <w:rPr>
                <w:b w:val="1"/>
                <w:rtl w:val="0"/>
              </w:rPr>
              <w:t xml:space="preserve">PiggyArray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rPr>
            </w:pPr>
            <w:r w:rsidDel="00000000" w:rsidR="00000000" w:rsidRPr="00000000">
              <w:rPr>
                <w:b w:val="1"/>
                <w:rtl w:val="0"/>
              </w:rPr>
              <w:t xml:space="preserve">PiggyMapping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Juanito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0x4B20993Bc481177ec7E8f571ceCaE8A9e22C02db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7062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4666 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Jaimito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0x617F2E2fD72FD9D5503197092aC168c91465E7f2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14751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4666 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Silvestre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0x17F6AD8Ef982297579C203069C1DbfFE4348c372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MV error: revert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MV error: revert</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 PiggyMapping sería constante el uso de gas independientemente del número de clientes, en cambio en PiggyArray aumentaría cada vez más debido a que tenemos que recorrer el array.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pere08@uc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