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9763B9" w14:textId="2E3DBFE0" w:rsidR="009805AC" w:rsidRDefault="009805AC" w:rsidP="009805AC">
      <w:pPr>
        <w:pStyle w:val="Heading1"/>
      </w:pPr>
      <w:r>
        <w:t>MODEL DESCRIPTION</w:t>
      </w:r>
    </w:p>
    <w:p w14:paraId="5980BCAD" w14:textId="18A888DE" w:rsidR="00C5401B" w:rsidRDefault="00C5401B" w:rsidP="00C5401B">
      <w:pPr>
        <w:pStyle w:val="NormalWeb"/>
      </w:pPr>
      <w:r>
        <w:t>The regression analysis examines which firm characteristics are associated with subsequent sales growth across different phases of the 2019–2024 period. The analysis uses ordinary least squares (OLS) regression and distinguishes three sub-periods — P1 (2019–2020), P2 (2020–2022), and P3 (2022–2024) — together with a FULL model covering 2019–2024. The dependent variable is annualised logarithmic sales growth for the relevant period. The current analysis uses nominal growth. For the FULL model, growth is measured over 2019–2024.</w:t>
      </w:r>
    </w:p>
    <w:p w14:paraId="3AD32CEA" w14:textId="77777777" w:rsidR="00C5401B" w:rsidRDefault="00C5401B" w:rsidP="00C5401B">
      <w:pPr>
        <w:pStyle w:val="NormalWeb"/>
      </w:pPr>
      <w:r>
        <w:t>The explanatory variables represent the firm's position at the beginning of each analysed period. They include firm size, measured as the logarithm of sales; profit margin; export intensity; asset turnover; capital ratio; and sales per employee. Foreign ownership is included as a binary control variable. The models also include an interaction between export intensity and firm size, allowing the relationship between internationalisation and subsequent growth to vary with company size. Sector controls are included in all regressions, with production used as the reference category.</w:t>
      </w:r>
    </w:p>
    <w:p w14:paraId="526ECE58" w14:textId="77777777" w:rsidR="00C5401B" w:rsidRDefault="00C5401B" w:rsidP="00C5401B">
      <w:pPr>
        <w:pStyle w:val="NormalWeb"/>
      </w:pPr>
      <w:r>
        <w:t>For P1, P2 and P3, the specification additionally controls for growth in the preceding period. This lagged-growth variable captures persistence or reversal in company growth trajectories. For P1, the lag is constructed using growth between 2018 and 2019; the 2018 data are used only for this purpose. The FULL model does not contain a lagged-growth variable.</w:t>
      </w:r>
    </w:p>
    <w:p w14:paraId="7FEEEECA" w14:textId="77777777" w:rsidR="00C5401B" w:rsidRDefault="00C5401B" w:rsidP="00C5401B">
      <w:pPr>
        <w:pStyle w:val="NormalWeb"/>
      </w:pPr>
      <w:r>
        <w:t>Four samples are analysed separately: all eligible firms (ALL), firms present in the 2019 ranking (RANK2019), manufacturing firms (MANUFACTURING), and manufacturing firms present in the 2019 ranking (RANK2019_MANUFACTURING). Applying the same model structure to these populations makes it possible to assess whether relationships observed in the broader population are also present in the more structurally comparable group of established manufacturing firms.</w:t>
      </w:r>
    </w:p>
    <w:p w14:paraId="0C4BC002" w14:textId="77777777" w:rsidR="00C5401B" w:rsidRDefault="00C5401B" w:rsidP="00C5401B">
      <w:pPr>
        <w:pStyle w:val="NormalWeb"/>
      </w:pPr>
      <w:r>
        <w:t>Each period and sample is estimated using four model variants: baseline, standardised baseline, winsorised, and standardised winsorised. Winsorisation is applied only to the dependent growth variable, at the 1st and 99th percentiles; explanatory variables are left unchanged. Consequently, comparison of baseline and winsorised specifications provides a robustness test of whether observed relationships depend strongly on firms experiencing exceptionally high or low growth.</w:t>
      </w:r>
    </w:p>
    <w:p w14:paraId="5111D388" w14:textId="77777777" w:rsidR="00C5401B" w:rsidRDefault="00C5401B" w:rsidP="00C5401B">
      <w:pPr>
        <w:pStyle w:val="NormalWeb"/>
      </w:pPr>
      <w:r>
        <w:t>The standardised models provide the main basis for comparing the relative importance of continuous explanatory variables. Numeric regressors and the dependent variable are standardised within each model estimation sample. Their coefficients can therefore be interpreted approximately as the change in the dependent variable, measured in standard deviations, associated with a one-standard-deviation change in the explanatory variable, holding the remaining variables constant. Categorical sector indicators and the foreign-ownership dummy are not standardised. Raw models are retained alongside the standardised specifications because they preserve the original measurement scale and provide an additional robustness check.</w:t>
      </w:r>
    </w:p>
    <w:p w14:paraId="33ECFB33" w14:textId="77777777" w:rsidR="00C5401B" w:rsidRDefault="00C5401B" w:rsidP="00C5401B">
      <w:pPr>
        <w:pStyle w:val="NormalWeb"/>
      </w:pPr>
      <w:r>
        <w:t xml:space="preserve">The interpretation therefore focuses not simply on statistical significance in an individual regression, but on four dimensions: the direction and magnitude of the relationship, its stability across periods, its robustness to winsorisation, and its persistence over the full 2019–2024 horizon. This is particularly important for organisational resilience, where a factor </w:t>
      </w:r>
      <w:r>
        <w:lastRenderedPageBreak/>
        <w:t>associated with growth during one phase of disruption may have a different, or even opposite, relationship during another phase.</w:t>
      </w:r>
    </w:p>
    <w:p w14:paraId="1E89B2EA" w14:textId="6B7A339F" w:rsidR="009805AC" w:rsidRDefault="00AB667B" w:rsidP="00AB667B">
      <w:pPr>
        <w:pStyle w:val="Heading1"/>
      </w:pPr>
      <w:r>
        <w:t xml:space="preserve">INTERPRETATION </w:t>
      </w:r>
      <w:r w:rsidR="00DA63E2">
        <w:t xml:space="preserve">OF MANUFACTURING SAMPLE ONLY </w:t>
      </w:r>
      <w:r>
        <w:t>(AI SUPPORTED)</w:t>
      </w:r>
    </w:p>
    <w:p w14:paraId="6D56823C" w14:textId="77777777" w:rsidR="00070A1C" w:rsidRDefault="00070A1C" w:rsidP="00C5401B">
      <w:pPr>
        <w:pStyle w:val="NormalWeb"/>
      </w:pPr>
    </w:p>
    <w:p w14:paraId="4C77A7F6" w14:textId="48B5464B" w:rsidR="00C5401B" w:rsidRDefault="00C5401B" w:rsidP="00C5401B">
      <w:pPr>
        <w:pStyle w:val="NormalWeb"/>
      </w:pPr>
      <w:r>
        <w:t xml:space="preserve">The complete RANK2019_MANUFACTURING sample contains 785 firms. It provides a relatively homogeneous population of established manufacturing firms that were already present in the 2019 ranking. </w:t>
      </w:r>
      <w:r w:rsidR="00AB667B">
        <w:t>The results point towards a strongly time-dependent pattern: none of the main firm characteristics shows a consistently positive or negative relationship with growth across all three periods, while several relationships change substantially between phases.</w:t>
      </w:r>
    </w:p>
    <w:p w14:paraId="257378E9" w14:textId="77777777" w:rsidR="00C5401B" w:rsidRDefault="00C5401B" w:rsidP="00C5401B">
      <w:pPr>
        <w:pStyle w:val="NormalWeb"/>
      </w:pPr>
      <w:r>
        <w:rPr>
          <w:rStyle w:val="Strong"/>
        </w:rPr>
        <w:t>Firm size.</w:t>
      </w:r>
      <w:r>
        <w:t xml:space="preserve"> Firm size has no statistically significant relationship with subsequent growth in any period or in the FULL model. This result is also robust to winsorisation. Within this population of relatively large manufacturing firms, size therefore provides little additional differentiation in subsequent growth performance.</w:t>
      </w:r>
    </w:p>
    <w:p w14:paraId="5D906CBD" w14:textId="77777777" w:rsidR="00EF2167" w:rsidRDefault="00EF2167" w:rsidP="00EF2167">
      <w:pPr>
        <w:pStyle w:val="NormalWeb"/>
      </w:pPr>
      <w:r>
        <w:rPr>
          <w:rStyle w:val="Strong"/>
        </w:rPr>
        <w:t>Profitability.</w:t>
      </w:r>
      <w:r>
        <w:t xml:space="preserve"> Profit margin shows a particularly interesting time-dependent relationship with subsequent growth. It is positively associated with growth during P1 (2019–2020) and P2 (2020–2022), but the relationship reverses in P3 (2022–2024), when higher profitability is associated with lower subsequent growth. The reversal becomes stronger rather than weaker after winsorisation, suggesting that the negative P3 relationship is not driven primarily by extreme growth observations.</w:t>
      </w:r>
    </w:p>
    <w:p w14:paraId="08A87311" w14:textId="77777777" w:rsidR="00EF2167" w:rsidRDefault="00EF2167" w:rsidP="00EF2167">
      <w:pPr>
        <w:pStyle w:val="NormalWeb"/>
      </w:pPr>
      <w:r>
        <w:t>One possible interpretation is that profitability has a contingent role in organisational resilience. During periods of acute disruption, higher profitability may provide financial slack that allows firms to absorb shocks, preserve resources and finance adaptation. Under different, more post-crisis conditions, however, the same relationship need not hold. Higher-margin firms may have fewer growth opportunities or place greater emphasis on preserving margins, while lower-margin firms may expand more aggressively or invest in market share.</w:t>
      </w:r>
    </w:p>
    <w:p w14:paraId="59F255BD" w14:textId="660612F8" w:rsidR="00C5401B" w:rsidRDefault="00EF2167" w:rsidP="00C5401B">
      <w:pPr>
        <w:pStyle w:val="NormalWeb"/>
      </w:pPr>
      <w:r>
        <w:t>The results therefore suggest a potentially important distinction between the characteristics that support resilience during disruption and those associated with growth under less acute conditions. Profitability may provide a buffer when firms face severe shocks without being a universal driver of subsequent growth. This interpretation remains tentative, however, because the regression identifies associations rather than the underlying mechanism, and P3 should not automatically be treated as a fully stable economic environment.</w:t>
      </w:r>
    </w:p>
    <w:p w14:paraId="40D01E5C" w14:textId="77777777" w:rsidR="00C5401B" w:rsidRDefault="00C5401B" w:rsidP="00C5401B">
      <w:pPr>
        <w:pStyle w:val="NormalWeb"/>
      </w:pPr>
      <w:r>
        <w:rPr>
          <w:rStyle w:val="Strong"/>
        </w:rPr>
        <w:t>Export intensity and the export–size interaction.</w:t>
      </w:r>
      <w:r>
        <w:t xml:space="preserve"> Neither export intensity nor its interaction with firm size is statistically significant in any period or in the FULL model. This is a notably stable null result across baseline and winsorised specifications. Within established manufacturing firms, internationalisation intensity by itself does not differentiate subsequent growth performance. One possible explanation is limited structural differentiation: firms in this population may already be relatively internationalised. However, this explanation should be treated as a hypothesis requiring confirmation from descriptive statistics rather than as a conclusion from the regressions themselves.</w:t>
      </w:r>
    </w:p>
    <w:p w14:paraId="0B297C14" w14:textId="77777777" w:rsidR="00C5401B" w:rsidRDefault="00C5401B" w:rsidP="00C5401B">
      <w:pPr>
        <w:pStyle w:val="NormalWeb"/>
      </w:pPr>
      <w:r>
        <w:rPr>
          <w:rStyle w:val="Strong"/>
        </w:rPr>
        <w:lastRenderedPageBreak/>
        <w:t>Asset turnover.</w:t>
      </w:r>
      <w:r>
        <w:t xml:space="preserve"> Asset turnover shows a clear phase-dependent pattern. Its relationship is essentially zero in the P1 baseline model but becomes negative after winsorisation (β = −0.083). It is weakly positive in P2 (β ≈ 0.061), then strongly negative in P3 (β = −0.151 baseline; −0.189 winsorised). The FULL baseline effect is approximately zero, but the winsorised FULL model again shows a significant negative relationship (β = −0.102). Operational intensity therefore does not represent a consistently beneficial characteristic. Its association with growth changes across phases, with the strongest evidence indicating a disadvantage during 2022–2024.</w:t>
      </w:r>
    </w:p>
    <w:p w14:paraId="5189B7C6" w14:textId="77777777" w:rsidR="00C5401B" w:rsidRDefault="00C5401B" w:rsidP="00C5401B">
      <w:pPr>
        <w:pStyle w:val="NormalWeb"/>
      </w:pPr>
      <w:r>
        <w:rPr>
          <w:rStyle w:val="Strong"/>
        </w:rPr>
        <w:t>Capital ratio.</w:t>
      </w:r>
      <w:r>
        <w:t xml:space="preserve"> Financial capitalisation also shows little evidence of a stable relationship. The coefficient is weak in P1 and P2, becomes significantly positive in the P3 baseline model (β = 0.139), but loses significance after winsorisation. In the FULL baseline model it is weakly negative and again disappears after winsorisation. Consequently, the analysis does not support a general conclusion that higher capitalisation systematically improves subsequent growth. There is some evidence that its relevance may depend on the phase of the disruption.</w:t>
      </w:r>
    </w:p>
    <w:p w14:paraId="2B5BFCB9" w14:textId="77777777" w:rsidR="00C5401B" w:rsidRDefault="00C5401B" w:rsidP="00C5401B">
      <w:pPr>
        <w:pStyle w:val="NormalWeb"/>
      </w:pPr>
      <w:r>
        <w:rPr>
          <w:rStyle w:val="Strong"/>
        </w:rPr>
        <w:t>Sales per employee.</w:t>
      </w:r>
      <w:r>
        <w:t xml:space="preserve"> Labour productivity is largely unrelated to subsequent growth except during P2. In 2020–2022, higher sales per employee are positively associated with growth in both baseline (β = 0.063) and winsorised (β = 0.083) specifications. The relationship disappears in P1, P3 and the FULL period. Productivity therefore appears to have been beneficial specifically during the rebound phase rather than representing a persistent growth advantage.</w:t>
      </w:r>
    </w:p>
    <w:p w14:paraId="02FB1E3A" w14:textId="77777777" w:rsidR="00C5401B" w:rsidRDefault="00C5401B" w:rsidP="00C5401B">
      <w:pPr>
        <w:pStyle w:val="NormalWeb"/>
      </w:pPr>
      <w:r>
        <w:rPr>
          <w:rStyle w:val="Strong"/>
        </w:rPr>
        <w:t>Foreign ownership.</w:t>
      </w:r>
      <w:r>
        <w:t xml:space="preserve"> Foreign ownership is generally insignificant. Only the winsorised P2 model produces a weak negative relationship (β = −0.136, p = 0.071). There is therefore little evidence that foreign versus domestic ownership systematically explains differences in growth among these manufacturing firms.</w:t>
      </w:r>
    </w:p>
    <w:p w14:paraId="76C34273" w14:textId="77777777" w:rsidR="00C5401B" w:rsidRDefault="00C5401B" w:rsidP="00C5401B">
      <w:pPr>
        <w:pStyle w:val="NormalWeb"/>
      </w:pPr>
      <w:r>
        <w:rPr>
          <w:rStyle w:val="Strong"/>
        </w:rPr>
        <w:t>Prior growth.</w:t>
      </w:r>
      <w:r>
        <w:t xml:space="preserve"> Lagged growth provides particularly interesting evidence of changing growth dynamics. In P1, previous 2018–2019 growth is positively related to 2019–2020 growth (β = 0.149 baseline; 0.130 winsorised), indicating persistence rather than mean reversion during the initial shock period. In P2, the relationship becomes weakly negative and is only marginally significant after winsorisation (β = −0.088). In P3, however, the relationship becomes strongly negative (β = −0.295 baseline; −0.335 winsorised). This progression from persistence towards strong reversal suggests that growth trajectories became increasingly characterised by correction or mean reversion by 2022–2024. Firms that had grown faster in the preceding period subsequently tended to grow more slowly, and vice versa.</w:t>
      </w:r>
    </w:p>
    <w:p w14:paraId="3BD93C80" w14:textId="77777777" w:rsidR="00C5401B" w:rsidRDefault="00C5401B" w:rsidP="00C5401B">
      <w:pPr>
        <w:pStyle w:val="NormalWeb"/>
      </w:pPr>
      <w:r>
        <w:rPr>
          <w:rStyle w:val="Strong"/>
        </w:rPr>
        <w:t>Sector effects.</w:t>
      </w:r>
      <w:r>
        <w:t xml:space="preserve"> Sector membership is among the most systematic sources of variation, but the direction of the effects changes considerably between periods. Relative to the production reference category, automotive firms underperform in P1 and P2 but outperform in P3; chemicals move from little difference in P1 to strong positive performance in P2 and negative performance in P3; food firms outperform in P1, underperform in P2, and strongly outperform again in P3. Similar reversals occur in mining and metallurgy and other sectors. These results suggest that sector exposure matters substantially, but not through a stable ranking of more and less resilient sectors. Instead, different sectors appear advantaged or disadvantaged under different economic conditions.</w:t>
      </w:r>
    </w:p>
    <w:p w14:paraId="17F2DB89" w14:textId="77777777" w:rsidR="00C5401B" w:rsidRDefault="00C5401B" w:rsidP="00C5401B">
      <w:pPr>
        <w:pStyle w:val="NormalWeb"/>
      </w:pPr>
      <w:r>
        <w:rPr>
          <w:rStyle w:val="Strong"/>
        </w:rPr>
        <w:t>Sensitivity to extreme growth observations.</w:t>
      </w:r>
      <w:r>
        <w:t xml:space="preserve"> Winsorisation materially changes several results. This is particularly visible for profitability and overall model explanatory power. For </w:t>
      </w:r>
      <w:r>
        <w:lastRenderedPageBreak/>
        <w:t>example, adjusted R² falls from 0.344 to 0.095 in P1 and from 0.330 to 0.158 in P2 after winsorisation. In P3 the opposite occurs: adjusted R² rises from 0.186 to 0.312. For the FULL period it falls from 0.317 to 0.098. Extreme growth observations therefore contain substantial information in this population, but they can also create apparently strong relationships that are not representative of the central part of the growth distribution. Results that remain visible after winsorisation should consequently receive greater interpretive weight.</w:t>
      </w:r>
    </w:p>
    <w:p w14:paraId="5ADCD2DC" w14:textId="77777777" w:rsidR="00C5401B" w:rsidRDefault="00C5401B" w:rsidP="00C5401B">
      <w:pPr>
        <w:pStyle w:val="NormalWeb"/>
      </w:pPr>
      <w:r>
        <w:rPr>
          <w:rStyle w:val="Strong"/>
        </w:rPr>
        <w:t>Overall interpretation.</w:t>
      </w:r>
      <w:r>
        <w:t xml:space="preserve"> The RANK2019_MANUFACTURING results provide limited support for the idea that resilience during 2019–2024 can be explained by a stable set of firm characteristics. Firm size, export intensity, foreign ownership and the export–size interaction show little consistent explanatory power. Profitability matters, but its magnitude and even direction depend on the period and on extreme growth observations. Asset turnover, productivity and capitalisation similarly display phase-specific effects.</w:t>
      </w:r>
    </w:p>
    <w:p w14:paraId="649235AF" w14:textId="77777777" w:rsidR="00C5401B" w:rsidRDefault="00C5401B" w:rsidP="00C5401B">
      <w:pPr>
        <w:pStyle w:val="NormalWeb"/>
      </w:pPr>
      <w:r>
        <w:t>The clearest pattern is therefore temporal rather than static. The initial 2019–2020 period shows persistence in previous growth; the 2020–2022 period produces a different configuration associated with rebound and sector-specific conditions; and 2022–2024 is characterised by strong growth reversal and substantial changes in sector effects. Over the complete 2019–2024 horizon, many of these phase-specific relationships weaken or disappear.</w:t>
      </w:r>
    </w:p>
    <w:p w14:paraId="58226CC4" w14:textId="77777777" w:rsidR="00C5401B" w:rsidRDefault="00C5401B" w:rsidP="00C5401B">
      <w:pPr>
        <w:pStyle w:val="NormalWeb"/>
      </w:pPr>
      <w:r>
        <w:t>For the resilience argument, this supports a cautious interpretation of organisational resilience as a dynamic and context-dependent outcome rather than a fixed attribute that can be predicted from a small set of pre-existing firm characteristics. At the same time, the regressions alone cannot establish the underlying mechanisms. In particular, sector effects may capture differences in exposure to external shocks rather than organisational resilience capabilities themselves. The results therefore provide evidence of changing associations and heterogeneous exposure, while causal explanations require additional analysis.</w:t>
      </w:r>
    </w:p>
    <w:p w14:paraId="12E65C2C" w14:textId="77777777" w:rsidR="004D6855" w:rsidRPr="00C5401B" w:rsidRDefault="004D6855">
      <w:pPr>
        <w:rPr>
          <w:lang w:val="en-PL"/>
        </w:rPr>
      </w:pPr>
    </w:p>
    <w:sectPr w:rsidR="004D6855" w:rsidRPr="00C540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Headings CS)">
    <w:panose1 w:val="020B0604020202020204"/>
    <w:charset w:val="00"/>
    <w:family w:val="roman"/>
    <w:pitch w:val="default"/>
  </w:font>
  <w:font w:name="Times New Roman (Body CS)">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B03A80"/>
    <w:multiLevelType w:val="multilevel"/>
    <w:tmpl w:val="F4482BA8"/>
    <w:lvl w:ilvl="0">
      <w:start w:val="1"/>
      <w:numFmt w:val="decimal"/>
      <w:pStyle w:val="Tabl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486598E"/>
    <w:multiLevelType w:val="hybridMultilevel"/>
    <w:tmpl w:val="51B2715E"/>
    <w:lvl w:ilvl="0" w:tplc="0AD6330C">
      <w:start w:val="1"/>
      <w:numFmt w:val="decimal"/>
      <w:lvlText w:val="Table %1."/>
      <w:lvlJc w:val="left"/>
      <w:pPr>
        <w:ind w:left="371"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2" w15:restartNumberingAfterBreak="0">
    <w:nsid w:val="579542BC"/>
    <w:multiLevelType w:val="hybridMultilevel"/>
    <w:tmpl w:val="A19A1DC4"/>
    <w:lvl w:ilvl="0" w:tplc="EBBC4C88">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3837072">
    <w:abstractNumId w:val="1"/>
  </w:num>
  <w:num w:numId="2" w16cid:durableId="209461056">
    <w:abstractNumId w:val="0"/>
  </w:num>
  <w:num w:numId="3" w16cid:durableId="71003401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0"/>
  <w:proofState w:spelling="clean" w:grammar="clean"/>
  <w:defaultTabStop w:val="720"/>
  <w:drawingGridHorizontalSpacing w:val="181"/>
  <w:drawingGridVerticalSpacing w:val="181"/>
  <w:displayHorizontalDrawingGridEvery w:val="0"/>
  <w:displayVerticalDrawingGridEvery w:val="0"/>
  <w:doNotUseMarginsForDrawingGridOrigin/>
  <w:drawingGridVerticalOrigin w:val="198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01B"/>
    <w:rsid w:val="00011D9B"/>
    <w:rsid w:val="000468A6"/>
    <w:rsid w:val="00070A1C"/>
    <w:rsid w:val="00080DEA"/>
    <w:rsid w:val="000F71AF"/>
    <w:rsid w:val="00117FA0"/>
    <w:rsid w:val="00135FD9"/>
    <w:rsid w:val="0017251F"/>
    <w:rsid w:val="00186B2D"/>
    <w:rsid w:val="00220573"/>
    <w:rsid w:val="00230959"/>
    <w:rsid w:val="00270B4B"/>
    <w:rsid w:val="002733F1"/>
    <w:rsid w:val="003469BA"/>
    <w:rsid w:val="003761A0"/>
    <w:rsid w:val="003B7ECE"/>
    <w:rsid w:val="00453F0D"/>
    <w:rsid w:val="004D6855"/>
    <w:rsid w:val="00631DE3"/>
    <w:rsid w:val="00663642"/>
    <w:rsid w:val="00720309"/>
    <w:rsid w:val="00757357"/>
    <w:rsid w:val="007915BD"/>
    <w:rsid w:val="00892520"/>
    <w:rsid w:val="009805AC"/>
    <w:rsid w:val="00994D1E"/>
    <w:rsid w:val="00AB667B"/>
    <w:rsid w:val="00AD0A68"/>
    <w:rsid w:val="00B61557"/>
    <w:rsid w:val="00B83F89"/>
    <w:rsid w:val="00BB3124"/>
    <w:rsid w:val="00BD7458"/>
    <w:rsid w:val="00C5401B"/>
    <w:rsid w:val="00D45F22"/>
    <w:rsid w:val="00DA5E57"/>
    <w:rsid w:val="00DA63E2"/>
    <w:rsid w:val="00DD0F82"/>
    <w:rsid w:val="00E86056"/>
    <w:rsid w:val="00E97E3E"/>
    <w:rsid w:val="00EB0807"/>
    <w:rsid w:val="00EB1647"/>
    <w:rsid w:val="00EF0749"/>
    <w:rsid w:val="00EF2167"/>
    <w:rsid w:val="00F14C3C"/>
    <w:rsid w:val="00FB7480"/>
    <w:rsid w:val="00FD7F82"/>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decimalSymbol w:val=","/>
  <w:listSeparator w:val=","/>
  <w14:docId w14:val="6384584C"/>
  <w15:chartTrackingRefBased/>
  <w15:docId w15:val="{C2A7F6A2-19B9-DA48-A498-F9DC92D57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PL" w:eastAsia="en-US" w:bidi="ar-SA"/>
        <w14:ligatures w14:val="standardContextual"/>
      </w:rPr>
    </w:rPrDefault>
    <w:pPrDefault>
      <w:pPr>
        <w:spacing w:after="11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ECE"/>
    <w:pPr>
      <w:spacing w:after="60" w:line="250" w:lineRule="auto"/>
      <w:jc w:val="left"/>
    </w:pPr>
    <w:rPr>
      <w:rFonts w:ascii="Open Sans" w:eastAsiaTheme="minorEastAsia" w:hAnsi="Open Sans"/>
      <w:color w:val="3F3F3F"/>
      <w:kern w:val="0"/>
      <w:sz w:val="20"/>
      <w:szCs w:val="22"/>
      <w:lang w:val="en-US"/>
      <w14:ligatures w14:val="none"/>
    </w:rPr>
  </w:style>
  <w:style w:type="paragraph" w:styleId="Heading1">
    <w:name w:val="heading 1"/>
    <w:basedOn w:val="Normal"/>
    <w:next w:val="Normal"/>
    <w:link w:val="Heading1Char"/>
    <w:autoRedefine/>
    <w:uiPriority w:val="9"/>
    <w:qFormat/>
    <w:rsid w:val="00720309"/>
    <w:pPr>
      <w:keepNext/>
      <w:keepLines/>
      <w:spacing w:before="60"/>
      <w:outlineLvl w:val="0"/>
    </w:pPr>
    <w:rPr>
      <w:rFonts w:asciiTheme="majorHAnsi" w:eastAsiaTheme="majorEastAsia" w:hAnsiTheme="majorHAnsi" w:cs="Times New Roman (Headings CS)"/>
      <w:b/>
      <w:bCs/>
      <w:color w:val="0F4761"/>
      <w:kern w:val="2"/>
      <w:sz w:val="24"/>
      <w:szCs w:val="28"/>
      <w:lang w:val="en-GB"/>
      <w14:ligatures w14:val="standardContextual"/>
    </w:rPr>
  </w:style>
  <w:style w:type="paragraph" w:styleId="Heading2">
    <w:name w:val="heading 2"/>
    <w:basedOn w:val="Normal"/>
    <w:next w:val="Normal"/>
    <w:link w:val="Heading2Char"/>
    <w:autoRedefine/>
    <w:uiPriority w:val="9"/>
    <w:unhideWhenUsed/>
    <w:qFormat/>
    <w:rsid w:val="00720309"/>
    <w:pPr>
      <w:keepNext/>
      <w:keepLines/>
      <w:spacing w:before="140"/>
      <w:outlineLvl w:val="1"/>
    </w:pPr>
    <w:rPr>
      <w:rFonts w:asciiTheme="majorHAnsi" w:eastAsiaTheme="majorEastAsia" w:hAnsiTheme="majorHAnsi" w:cs="Times New Roman (Headings CS)"/>
      <w:b/>
      <w:bCs/>
      <w:color w:val="2C7FCE" w:themeColor="text2" w:themeTint="99"/>
      <w:kern w:val="2"/>
      <w:sz w:val="24"/>
      <w:szCs w:val="26"/>
      <w:lang w:val="en-GB"/>
      <w14:ligatures w14:val="standardContextual"/>
    </w:rPr>
  </w:style>
  <w:style w:type="paragraph" w:styleId="Heading3">
    <w:name w:val="heading 3"/>
    <w:basedOn w:val="Normal"/>
    <w:next w:val="Normal"/>
    <w:link w:val="Heading3Char"/>
    <w:uiPriority w:val="9"/>
    <w:semiHidden/>
    <w:unhideWhenUsed/>
    <w:qFormat/>
    <w:rsid w:val="00C5401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01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401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40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40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40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40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
    <w:name w:val="Table"/>
    <w:basedOn w:val="TOC1"/>
    <w:link w:val="TableChar"/>
    <w:autoRedefine/>
    <w:qFormat/>
    <w:rsid w:val="00BB3124"/>
    <w:pPr>
      <w:numPr>
        <w:numId w:val="2"/>
      </w:numPr>
      <w:tabs>
        <w:tab w:val="left" w:pos="720"/>
      </w:tabs>
      <w:spacing w:before="120" w:after="120"/>
      <w:ind w:left="371" w:hanging="360"/>
      <w:jc w:val="center"/>
    </w:pPr>
    <w:rPr>
      <w:rFonts w:cstheme="minorHAnsi"/>
      <w:b/>
      <w:bCs/>
      <w:noProof/>
    </w:rPr>
  </w:style>
  <w:style w:type="character" w:customStyle="1" w:styleId="TableChar">
    <w:name w:val="Table Char"/>
    <w:basedOn w:val="DefaultParagraphFont"/>
    <w:link w:val="Table"/>
    <w:rsid w:val="00BB3124"/>
    <w:rPr>
      <w:rFonts w:cstheme="minorHAnsi"/>
      <w:b/>
      <w:bCs/>
      <w:noProof/>
    </w:rPr>
  </w:style>
  <w:style w:type="paragraph" w:styleId="TOC1">
    <w:name w:val="toc 1"/>
    <w:basedOn w:val="Normal"/>
    <w:next w:val="Normal"/>
    <w:autoRedefine/>
    <w:uiPriority w:val="39"/>
    <w:semiHidden/>
    <w:unhideWhenUsed/>
    <w:rsid w:val="00BB3124"/>
  </w:style>
  <w:style w:type="character" w:customStyle="1" w:styleId="Heading2Char">
    <w:name w:val="Heading 2 Char"/>
    <w:basedOn w:val="DefaultParagraphFont"/>
    <w:link w:val="Heading2"/>
    <w:uiPriority w:val="9"/>
    <w:rsid w:val="00720309"/>
    <w:rPr>
      <w:rFonts w:asciiTheme="majorHAnsi" w:eastAsiaTheme="majorEastAsia" w:hAnsiTheme="majorHAnsi" w:cs="Times New Roman (Headings CS)"/>
      <w:b/>
      <w:bCs/>
      <w:color w:val="2C7FCE" w:themeColor="text2" w:themeTint="99"/>
      <w:szCs w:val="26"/>
      <w:lang w:val="en-GB"/>
    </w:rPr>
  </w:style>
  <w:style w:type="character" w:customStyle="1" w:styleId="Heading1Char">
    <w:name w:val="Heading 1 Char"/>
    <w:basedOn w:val="DefaultParagraphFont"/>
    <w:link w:val="Heading1"/>
    <w:uiPriority w:val="9"/>
    <w:rsid w:val="00720309"/>
    <w:rPr>
      <w:rFonts w:asciiTheme="majorHAnsi" w:eastAsiaTheme="majorEastAsia" w:hAnsiTheme="majorHAnsi" w:cs="Times New Roman (Headings CS)"/>
      <w:b/>
      <w:bCs/>
      <w:color w:val="0F4761"/>
      <w:szCs w:val="28"/>
      <w:lang w:val="en-GB"/>
    </w:rPr>
  </w:style>
  <w:style w:type="paragraph" w:styleId="ListParagraph">
    <w:name w:val="List Paragraph"/>
    <w:basedOn w:val="Normal"/>
    <w:autoRedefine/>
    <w:uiPriority w:val="34"/>
    <w:qFormat/>
    <w:rsid w:val="00720309"/>
    <w:pPr>
      <w:numPr>
        <w:numId w:val="3"/>
      </w:numPr>
      <w:spacing w:after="30" w:line="245" w:lineRule="auto"/>
      <w:contextualSpacing/>
    </w:pPr>
    <w:rPr>
      <w:rFonts w:cs="Times New Roman (Body CS)"/>
    </w:rPr>
  </w:style>
  <w:style w:type="character" w:customStyle="1" w:styleId="Heading3Char">
    <w:name w:val="Heading 3 Char"/>
    <w:basedOn w:val="DefaultParagraphFont"/>
    <w:link w:val="Heading3"/>
    <w:uiPriority w:val="9"/>
    <w:semiHidden/>
    <w:rsid w:val="00C5401B"/>
    <w:rPr>
      <w:rFonts w:eastAsiaTheme="majorEastAsia" w:cstheme="majorBidi"/>
      <w:color w:val="0F4761" w:themeColor="accent1" w:themeShade="BF"/>
      <w:kern w:val="0"/>
      <w:sz w:val="28"/>
      <w:szCs w:val="28"/>
      <w:lang w:val="en-US"/>
      <w14:ligatures w14:val="none"/>
    </w:rPr>
  </w:style>
  <w:style w:type="character" w:customStyle="1" w:styleId="Heading4Char">
    <w:name w:val="Heading 4 Char"/>
    <w:basedOn w:val="DefaultParagraphFont"/>
    <w:link w:val="Heading4"/>
    <w:uiPriority w:val="9"/>
    <w:semiHidden/>
    <w:rsid w:val="00C5401B"/>
    <w:rPr>
      <w:rFonts w:eastAsiaTheme="majorEastAsia" w:cstheme="majorBidi"/>
      <w:i/>
      <w:iCs/>
      <w:color w:val="0F4761" w:themeColor="accent1" w:themeShade="BF"/>
      <w:kern w:val="0"/>
      <w:sz w:val="20"/>
      <w:szCs w:val="22"/>
      <w:lang w:val="en-US"/>
      <w14:ligatures w14:val="none"/>
    </w:rPr>
  </w:style>
  <w:style w:type="character" w:customStyle="1" w:styleId="Heading5Char">
    <w:name w:val="Heading 5 Char"/>
    <w:basedOn w:val="DefaultParagraphFont"/>
    <w:link w:val="Heading5"/>
    <w:uiPriority w:val="9"/>
    <w:semiHidden/>
    <w:rsid w:val="00C5401B"/>
    <w:rPr>
      <w:rFonts w:eastAsiaTheme="majorEastAsia" w:cstheme="majorBidi"/>
      <w:color w:val="0F4761" w:themeColor="accent1" w:themeShade="BF"/>
      <w:kern w:val="0"/>
      <w:sz w:val="20"/>
      <w:szCs w:val="22"/>
      <w:lang w:val="en-US"/>
      <w14:ligatures w14:val="none"/>
    </w:rPr>
  </w:style>
  <w:style w:type="character" w:customStyle="1" w:styleId="Heading6Char">
    <w:name w:val="Heading 6 Char"/>
    <w:basedOn w:val="DefaultParagraphFont"/>
    <w:link w:val="Heading6"/>
    <w:uiPriority w:val="9"/>
    <w:semiHidden/>
    <w:rsid w:val="00C5401B"/>
    <w:rPr>
      <w:rFonts w:eastAsiaTheme="majorEastAsia" w:cstheme="majorBidi"/>
      <w:i/>
      <w:iCs/>
      <w:color w:val="595959" w:themeColor="text1" w:themeTint="A6"/>
      <w:kern w:val="0"/>
      <w:sz w:val="20"/>
      <w:szCs w:val="22"/>
      <w:lang w:val="en-US"/>
      <w14:ligatures w14:val="none"/>
    </w:rPr>
  </w:style>
  <w:style w:type="character" w:customStyle="1" w:styleId="Heading7Char">
    <w:name w:val="Heading 7 Char"/>
    <w:basedOn w:val="DefaultParagraphFont"/>
    <w:link w:val="Heading7"/>
    <w:uiPriority w:val="9"/>
    <w:semiHidden/>
    <w:rsid w:val="00C5401B"/>
    <w:rPr>
      <w:rFonts w:eastAsiaTheme="majorEastAsia" w:cstheme="majorBidi"/>
      <w:color w:val="595959" w:themeColor="text1" w:themeTint="A6"/>
      <w:kern w:val="0"/>
      <w:sz w:val="20"/>
      <w:szCs w:val="22"/>
      <w:lang w:val="en-US"/>
      <w14:ligatures w14:val="none"/>
    </w:rPr>
  </w:style>
  <w:style w:type="character" w:customStyle="1" w:styleId="Heading8Char">
    <w:name w:val="Heading 8 Char"/>
    <w:basedOn w:val="DefaultParagraphFont"/>
    <w:link w:val="Heading8"/>
    <w:uiPriority w:val="9"/>
    <w:semiHidden/>
    <w:rsid w:val="00C5401B"/>
    <w:rPr>
      <w:rFonts w:eastAsiaTheme="majorEastAsia" w:cstheme="majorBidi"/>
      <w:i/>
      <w:iCs/>
      <w:color w:val="272727" w:themeColor="text1" w:themeTint="D8"/>
      <w:kern w:val="0"/>
      <w:sz w:val="20"/>
      <w:szCs w:val="22"/>
      <w:lang w:val="en-US"/>
      <w14:ligatures w14:val="none"/>
    </w:rPr>
  </w:style>
  <w:style w:type="character" w:customStyle="1" w:styleId="Heading9Char">
    <w:name w:val="Heading 9 Char"/>
    <w:basedOn w:val="DefaultParagraphFont"/>
    <w:link w:val="Heading9"/>
    <w:uiPriority w:val="9"/>
    <w:semiHidden/>
    <w:rsid w:val="00C5401B"/>
    <w:rPr>
      <w:rFonts w:eastAsiaTheme="majorEastAsia" w:cstheme="majorBidi"/>
      <w:color w:val="272727" w:themeColor="text1" w:themeTint="D8"/>
      <w:kern w:val="0"/>
      <w:sz w:val="20"/>
      <w:szCs w:val="22"/>
      <w:lang w:val="en-US"/>
      <w14:ligatures w14:val="none"/>
    </w:rPr>
  </w:style>
  <w:style w:type="paragraph" w:styleId="Title">
    <w:name w:val="Title"/>
    <w:basedOn w:val="Normal"/>
    <w:next w:val="Normal"/>
    <w:link w:val="TitleChar"/>
    <w:uiPriority w:val="10"/>
    <w:qFormat/>
    <w:rsid w:val="00C5401B"/>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5401B"/>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C5401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01B"/>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C540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401B"/>
    <w:rPr>
      <w:rFonts w:ascii="Open Sans" w:eastAsiaTheme="minorEastAsia" w:hAnsi="Open Sans"/>
      <w:i/>
      <w:iCs/>
      <w:color w:val="404040" w:themeColor="text1" w:themeTint="BF"/>
      <w:kern w:val="0"/>
      <w:sz w:val="20"/>
      <w:szCs w:val="22"/>
      <w:lang w:val="en-US"/>
      <w14:ligatures w14:val="none"/>
    </w:rPr>
  </w:style>
  <w:style w:type="character" w:styleId="IntenseEmphasis">
    <w:name w:val="Intense Emphasis"/>
    <w:basedOn w:val="DefaultParagraphFont"/>
    <w:uiPriority w:val="21"/>
    <w:qFormat/>
    <w:rsid w:val="00C5401B"/>
    <w:rPr>
      <w:i/>
      <w:iCs/>
      <w:color w:val="0F4761" w:themeColor="accent1" w:themeShade="BF"/>
    </w:rPr>
  </w:style>
  <w:style w:type="paragraph" w:styleId="IntenseQuote">
    <w:name w:val="Intense Quote"/>
    <w:basedOn w:val="Normal"/>
    <w:next w:val="Normal"/>
    <w:link w:val="IntenseQuoteChar"/>
    <w:uiPriority w:val="30"/>
    <w:qFormat/>
    <w:rsid w:val="00C54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01B"/>
    <w:rPr>
      <w:rFonts w:ascii="Open Sans" w:eastAsiaTheme="minorEastAsia" w:hAnsi="Open Sans"/>
      <w:i/>
      <w:iCs/>
      <w:color w:val="0F4761" w:themeColor="accent1" w:themeShade="BF"/>
      <w:kern w:val="0"/>
      <w:sz w:val="20"/>
      <w:szCs w:val="22"/>
      <w:lang w:val="en-US"/>
      <w14:ligatures w14:val="none"/>
    </w:rPr>
  </w:style>
  <w:style w:type="character" w:styleId="IntenseReference">
    <w:name w:val="Intense Reference"/>
    <w:basedOn w:val="DefaultParagraphFont"/>
    <w:uiPriority w:val="32"/>
    <w:qFormat/>
    <w:rsid w:val="00C5401B"/>
    <w:rPr>
      <w:b/>
      <w:bCs/>
      <w:smallCaps/>
      <w:color w:val="0F4761" w:themeColor="accent1" w:themeShade="BF"/>
      <w:spacing w:val="5"/>
    </w:rPr>
  </w:style>
  <w:style w:type="paragraph" w:styleId="NormalWeb">
    <w:name w:val="Normal (Web)"/>
    <w:basedOn w:val="Normal"/>
    <w:uiPriority w:val="99"/>
    <w:semiHidden/>
    <w:unhideWhenUsed/>
    <w:rsid w:val="00C5401B"/>
    <w:pPr>
      <w:spacing w:before="100" w:beforeAutospacing="1" w:after="100" w:afterAutospacing="1" w:line="240" w:lineRule="auto"/>
    </w:pPr>
    <w:rPr>
      <w:rFonts w:ascii="Times New Roman" w:eastAsia="Times New Roman" w:hAnsi="Times New Roman" w:cs="Times New Roman"/>
      <w:color w:val="auto"/>
      <w:sz w:val="24"/>
      <w:szCs w:val="24"/>
      <w:lang w:val="en-PL" w:eastAsia="en-GB"/>
    </w:rPr>
  </w:style>
  <w:style w:type="character" w:styleId="Strong">
    <w:name w:val="Strong"/>
    <w:basedOn w:val="DefaultParagraphFont"/>
    <w:uiPriority w:val="22"/>
    <w:qFormat/>
    <w:rsid w:val="00C540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1745</Words>
  <Characters>10872</Characters>
  <Application>Microsoft Office Word</Application>
  <DocSecurity>0</DocSecurity>
  <Lines>151</Lines>
  <Paragraphs>28</Paragraphs>
  <ScaleCrop>false</ScaleCrop>
  <Company/>
  <LinksUpToDate>false</LinksUpToDate>
  <CharactersWithSpaces>12589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Pietruszewski</dc:creator>
  <cp:keywords/>
  <dc:description/>
  <cp:lastModifiedBy>Adam Pietruszewski</cp:lastModifiedBy>
  <cp:revision>10</cp:revision>
  <dcterms:created xsi:type="dcterms:W3CDTF">2026-09-29T07:00:00Z</dcterms:created>
  <dcterms:modified xsi:type="dcterms:W3CDTF">2026-10-06T10:00:00Z</dcterms:modified>
</cp:coreProperties>
</file>