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1851" w14:textId="77C2D3A5" w:rsidR="00F04060" w:rsidRPr="00322DB3" w:rsidRDefault="00F04060" w:rsidP="00F04060">
      <w:pPr>
        <w:rPr>
          <w:rFonts w:ascii="Times New Roman" w:hAnsi="Times New Roman" w:cs="Times New Roman"/>
          <w:b/>
          <w:bCs/>
          <w:lang w:val="en-US"/>
        </w:rPr>
      </w:pPr>
      <w:r w:rsidRPr="00322DB3">
        <w:rPr>
          <w:rFonts w:ascii="Times New Roman" w:hAnsi="Times New Roman" w:cs="Times New Roman"/>
          <w:b/>
          <w:bCs/>
          <w:lang w:val="en-US"/>
        </w:rPr>
        <w:t>LIST 2000</w:t>
      </w:r>
    </w:p>
    <w:p w14:paraId="4A70C6A5" w14:textId="2381E99A" w:rsidR="00490F97" w:rsidRPr="00322DB3" w:rsidRDefault="00490F97" w:rsidP="00490F97">
      <w:pPr>
        <w:pStyle w:val="Heading3"/>
        <w:rPr>
          <w:rFonts w:ascii="Times New Roman" w:hAnsi="Times New Roman" w:cs="Times New Roman"/>
          <w:color w:val="auto"/>
          <w:sz w:val="24"/>
          <w:szCs w:val="24"/>
          <w:lang w:val="en-US" w:eastAsia="en-US"/>
        </w:rPr>
      </w:pPr>
      <w:r w:rsidRPr="00322DB3">
        <w:rPr>
          <w:rFonts w:ascii="Times New Roman" w:hAnsi="Times New Roman" w:cs="Times New Roman"/>
          <w:color w:val="auto"/>
          <w:sz w:val="24"/>
          <w:szCs w:val="24"/>
          <w:lang w:val="en-US" w:eastAsia="en-US"/>
        </w:rPr>
        <w:t>Implemented variables:</w:t>
      </w:r>
    </w:p>
    <w:p w14:paraId="349A8E68" w14:textId="2B79F476" w:rsidR="004453B7" w:rsidRPr="00322DB3" w:rsidRDefault="004453B7" w:rsidP="004453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Multinationality (foreign equity).  domestic firm=P; foreign firm subsidiary=F.</w:t>
      </w:r>
    </w:p>
    <w:p w14:paraId="5BF87ECD" w14:textId="6666754F" w:rsidR="00F74BCB" w:rsidRPr="00322DB3" w:rsidRDefault="00F74BCB" w:rsidP="00F74B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Industry (1 letter PKD 21 codes, two digits PKLD 88 codes)</w:t>
      </w:r>
    </w:p>
    <w:p w14:paraId="6C7B04BA" w14:textId="29E2EEFB" w:rsidR="003C7294" w:rsidRPr="00322DB3" w:rsidRDefault="003C7294" w:rsidP="00F74B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Digital Intensity</w:t>
      </w:r>
      <w:r w:rsidR="00732ACF" w:rsidRPr="00322DB3">
        <w:rPr>
          <w:rFonts w:ascii="Times New Roman" w:hAnsi="Times New Roman" w:cs="Times New Roman"/>
        </w:rPr>
        <w:t xml:space="preserve"> (based on a taxonomy of digital intensive sectors)</w:t>
      </w:r>
    </w:p>
    <w:p w14:paraId="410395C1" w14:textId="2BB35867" w:rsidR="00792049" w:rsidRPr="00322DB3" w:rsidRDefault="00301B2E" w:rsidP="004453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Export as % of Sales</w:t>
      </w:r>
    </w:p>
    <w:p w14:paraId="1FADBF73" w14:textId="5BD2AC6C" w:rsidR="003314F5" w:rsidRPr="00322DB3" w:rsidRDefault="003314F5" w:rsidP="003314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High Internationalisation Export Sales &gt; 25% of Sales in 2023</w:t>
      </w:r>
    </w:p>
    <w:p w14:paraId="6BFF035D" w14:textId="1600F29E" w:rsidR="00301B2E" w:rsidRPr="00322DB3" w:rsidRDefault="00301B2E" w:rsidP="00301B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ROA / ROS / ROE</w:t>
      </w:r>
    </w:p>
    <w:p w14:paraId="63BA144E" w14:textId="7EBFAF7F" w:rsidR="00301B2E" w:rsidRPr="00322DB3" w:rsidRDefault="00F74BCB" w:rsidP="00301B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Starting Profit - ROS in 2019</w:t>
      </w:r>
    </w:p>
    <w:p w14:paraId="50F87A38" w14:textId="4F435DAD" w:rsidR="00F74BCB" w:rsidRPr="00322DB3" w:rsidRDefault="00F74BCB" w:rsidP="00AC09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Starting Balance Sheet Strength - Equity / BS in 2019</w:t>
      </w:r>
    </w:p>
    <w:p w14:paraId="020EDE78" w14:textId="758779D4" w:rsidR="00F74BCB" w:rsidRPr="00322DB3" w:rsidRDefault="00AC0994" w:rsidP="00301B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Starting Size - ln sales in 2019</w:t>
      </w:r>
    </w:p>
    <w:p w14:paraId="1381AC5F" w14:textId="26F41D15" w:rsidR="00AC0994" w:rsidRPr="00322DB3" w:rsidRDefault="00762C0D" w:rsidP="00490F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Human Capital Proxy - Staff costs / employment</w:t>
      </w:r>
    </w:p>
    <w:p w14:paraId="2CCA344A" w14:textId="0FFD0284" w:rsidR="00646317" w:rsidRPr="00322DB3" w:rsidRDefault="00DA7939" w:rsidP="006463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 xml:space="preserve">Sales Growth </w:t>
      </w:r>
      <w:r w:rsidR="00646317" w:rsidRPr="00322DB3">
        <w:rPr>
          <w:rFonts w:ascii="Times New Roman" w:hAnsi="Times New Roman" w:cs="Times New Roman"/>
        </w:rPr>
        <w:t>SGrowth_202</w:t>
      </w:r>
      <w:r w:rsidR="009663FA" w:rsidRPr="00322DB3">
        <w:rPr>
          <w:rFonts w:ascii="Times New Roman" w:hAnsi="Times New Roman" w:cs="Times New Roman"/>
        </w:rPr>
        <w:t>3</w:t>
      </w:r>
      <w:r w:rsidR="00646317" w:rsidRPr="00322DB3">
        <w:rPr>
          <w:rFonts w:ascii="Times New Roman" w:hAnsi="Times New Roman" w:cs="Times New Roman"/>
        </w:rPr>
        <w:t>_2019</w:t>
      </w:r>
      <w:r w:rsidR="00A71B22">
        <w:rPr>
          <w:rFonts w:ascii="Times New Roman" w:hAnsi="Times New Roman" w:cs="Times New Roman"/>
        </w:rPr>
        <w:t xml:space="preserve"> (total growth </w:t>
      </w:r>
      <w:r w:rsidR="005D4F05">
        <w:rPr>
          <w:rFonts w:ascii="Times New Roman" w:hAnsi="Times New Roman" w:cs="Times New Roman"/>
        </w:rPr>
        <w:t>between 2019 ansd 2023)</w:t>
      </w:r>
    </w:p>
    <w:p w14:paraId="0097BF76" w14:textId="33DF57F9" w:rsidR="00AC0994" w:rsidRDefault="00646317" w:rsidP="006463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LSGrowth_202</w:t>
      </w:r>
      <w:r w:rsidR="009663FA" w:rsidRPr="00322DB3">
        <w:rPr>
          <w:rFonts w:ascii="Times New Roman" w:hAnsi="Times New Roman" w:cs="Times New Roman"/>
        </w:rPr>
        <w:t>3</w:t>
      </w:r>
      <w:r w:rsidRPr="00322DB3">
        <w:rPr>
          <w:rFonts w:ascii="Times New Roman" w:hAnsi="Times New Roman" w:cs="Times New Roman"/>
        </w:rPr>
        <w:t>_2019 (logarithm)</w:t>
      </w:r>
    </w:p>
    <w:p w14:paraId="7AAC82A3" w14:textId="06105654" w:rsidR="00BF1151" w:rsidRPr="00BF1151" w:rsidRDefault="00BF1151" w:rsidP="00BF11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Annualised_Growth</w:t>
      </w:r>
    </w:p>
    <w:p w14:paraId="4ACA64A8" w14:textId="180E35E3" w:rsidR="00413A2A" w:rsidRPr="00322DB3" w:rsidRDefault="00CC7D04" w:rsidP="00413A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 xml:space="preserve">Growth Treshholds: </w:t>
      </w:r>
      <w:r w:rsidR="00134AE2" w:rsidRPr="00322DB3">
        <w:rPr>
          <w:rFonts w:ascii="Times New Roman" w:hAnsi="Times New Roman" w:cs="Times New Roman"/>
        </w:rPr>
        <w:t>G0</w:t>
      </w:r>
      <w:r w:rsidR="00191D0F">
        <w:rPr>
          <w:rFonts w:ascii="Times New Roman" w:hAnsi="Times New Roman" w:cs="Times New Roman"/>
        </w:rPr>
        <w:t xml:space="preserve"> </w:t>
      </w:r>
      <w:r w:rsidR="00BD1E6C">
        <w:rPr>
          <w:rFonts w:ascii="Times New Roman" w:hAnsi="Times New Roman" w:cs="Times New Roman"/>
        </w:rPr>
        <w:t>&lt;</w:t>
      </w:r>
      <w:r w:rsidR="00191D0F">
        <w:rPr>
          <w:rFonts w:ascii="Times New Roman" w:hAnsi="Times New Roman" w:cs="Times New Roman"/>
        </w:rPr>
        <w:t xml:space="preserve"> inflation</w:t>
      </w:r>
      <w:r w:rsidR="00134AE2" w:rsidRPr="00322DB3">
        <w:rPr>
          <w:rFonts w:ascii="Times New Roman" w:hAnsi="Times New Roman" w:cs="Times New Roman"/>
        </w:rPr>
        <w:t>, G1</w:t>
      </w:r>
      <w:r w:rsidR="00191D0F">
        <w:rPr>
          <w:rFonts w:ascii="Times New Roman" w:hAnsi="Times New Roman" w:cs="Times New Roman"/>
        </w:rPr>
        <w:t xml:space="preserve"> </w:t>
      </w:r>
      <w:r w:rsidR="00BD1E6C">
        <w:rPr>
          <w:rFonts w:ascii="Times New Roman" w:hAnsi="Times New Roman" w:cs="Times New Roman"/>
        </w:rPr>
        <w:t xml:space="preserve">&lt; </w:t>
      </w:r>
      <w:r w:rsidR="00191D0F">
        <w:rPr>
          <w:rFonts w:ascii="Times New Roman" w:hAnsi="Times New Roman" w:cs="Times New Roman"/>
        </w:rPr>
        <w:t xml:space="preserve"> stability treshol</w:t>
      </w:r>
      <w:r w:rsidR="005D4F05">
        <w:rPr>
          <w:rFonts w:ascii="Times New Roman" w:hAnsi="Times New Roman" w:cs="Times New Roman"/>
        </w:rPr>
        <w:t>d + inflation</w:t>
      </w:r>
      <w:r w:rsidR="00134AE2" w:rsidRPr="00322DB3">
        <w:rPr>
          <w:rFonts w:ascii="Times New Roman" w:hAnsi="Times New Roman" w:cs="Times New Roman"/>
        </w:rPr>
        <w:t>, G2</w:t>
      </w:r>
      <w:r w:rsidR="005D4F05">
        <w:rPr>
          <w:rFonts w:ascii="Times New Roman" w:hAnsi="Times New Roman" w:cs="Times New Roman"/>
        </w:rPr>
        <w:t xml:space="preserve"> </w:t>
      </w:r>
      <w:r w:rsidR="00BD1E6C">
        <w:rPr>
          <w:rFonts w:ascii="Times New Roman" w:hAnsi="Times New Roman" w:cs="Times New Roman"/>
        </w:rPr>
        <w:t>&lt;</w:t>
      </w:r>
      <w:r w:rsidR="005D4F05">
        <w:rPr>
          <w:rFonts w:ascii="Times New Roman" w:hAnsi="Times New Roman" w:cs="Times New Roman"/>
        </w:rPr>
        <w:t xml:space="preserve"> growth-treshold + inflation</w:t>
      </w:r>
      <w:r w:rsidR="00134AE2" w:rsidRPr="00322DB3">
        <w:rPr>
          <w:rFonts w:ascii="Times New Roman" w:hAnsi="Times New Roman" w:cs="Times New Roman"/>
        </w:rPr>
        <w:t>, G3</w:t>
      </w:r>
      <w:r w:rsidR="00BD1E6C">
        <w:rPr>
          <w:rFonts w:ascii="Times New Roman" w:hAnsi="Times New Roman" w:cs="Times New Roman"/>
        </w:rPr>
        <w:t xml:space="preserve"> </w:t>
      </w:r>
      <w:r w:rsidR="005D4F05">
        <w:rPr>
          <w:rFonts w:ascii="Times New Roman" w:hAnsi="Times New Roman" w:cs="Times New Roman"/>
        </w:rPr>
        <w:t>&gt; growth-treshold + inflation</w:t>
      </w:r>
    </w:p>
    <w:p w14:paraId="5FCE93D5" w14:textId="2B881BD3" w:rsidR="00CC7D04" w:rsidRPr="00322DB3" w:rsidRDefault="00CC7D04" w:rsidP="00413A2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stability_threshold = 10</w:t>
      </w:r>
    </w:p>
    <w:p w14:paraId="130A4C4A" w14:textId="25DFFA95" w:rsidR="00CC7D04" w:rsidRPr="00322DB3" w:rsidRDefault="00CC7D04" w:rsidP="00413A2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growth_threshold = 20 (72,8% of compound growth between 2019 and 2022)</w:t>
      </w:r>
    </w:p>
    <w:p w14:paraId="405B6E88" w14:textId="0D1D7AAB" w:rsidR="00646317" w:rsidRPr="00322DB3" w:rsidRDefault="00CC7D04" w:rsidP="00413A2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inflation = 7.5 # (24% inflation between 2019 and 2022, when combined with growth treshold it gives 107% of compund growth)</w:t>
      </w:r>
    </w:p>
    <w:p w14:paraId="5BF774F5" w14:textId="59E91D5A" w:rsidR="0006603D" w:rsidRPr="00322DB3" w:rsidRDefault="00A223B1" w:rsidP="00490F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Sales Drop Conditions – sales drop in any of the years vs previous year</w:t>
      </w:r>
    </w:p>
    <w:p w14:paraId="3B54DE61" w14:textId="77777777" w:rsidR="003314F5" w:rsidRPr="00322DB3" w:rsidRDefault="003314F5" w:rsidP="003314F5">
      <w:pPr>
        <w:ind w:left="360"/>
        <w:rPr>
          <w:rFonts w:ascii="Times New Roman" w:hAnsi="Times New Roman" w:cs="Times New Roman"/>
        </w:rPr>
      </w:pPr>
    </w:p>
    <w:p w14:paraId="230EDF1C" w14:textId="2405AC8A" w:rsidR="00413A2A" w:rsidRPr="00322DB3" w:rsidRDefault="00DA7939" w:rsidP="000660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 xml:space="preserve">Employment Growth: </w:t>
      </w:r>
      <w:r w:rsidR="00E17EE6" w:rsidRPr="00322DB3">
        <w:rPr>
          <w:rFonts w:ascii="Times New Roman" w:hAnsi="Times New Roman" w:cs="Times New Roman"/>
        </w:rPr>
        <w:t>EGrowth_2023_2019</w:t>
      </w:r>
      <w:r w:rsidR="005D4F05">
        <w:rPr>
          <w:rFonts w:ascii="Times New Roman" w:hAnsi="Times New Roman" w:cs="Times New Roman"/>
        </w:rPr>
        <w:t xml:space="preserve"> (total growth between 2019 ansd 2023)</w:t>
      </w:r>
    </w:p>
    <w:p w14:paraId="08153CB1" w14:textId="1FDAEE6C" w:rsidR="00FC19D1" w:rsidRPr="00322DB3" w:rsidRDefault="00FC19D1" w:rsidP="00FC19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Annualised_EGrowth</w:t>
      </w:r>
    </w:p>
    <w:p w14:paraId="7DBE4976" w14:textId="7656DE12" w:rsidR="00FC19D1" w:rsidRPr="00322DB3" w:rsidRDefault="00FC19D1" w:rsidP="00FC19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LEGrowth_2023_2019 (logarithm)</w:t>
      </w:r>
    </w:p>
    <w:p w14:paraId="737015BD" w14:textId="214B7F37" w:rsidR="003314F5" w:rsidRPr="00322DB3" w:rsidRDefault="003314F5" w:rsidP="000660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Growth Treshhold</w:t>
      </w:r>
      <w:r w:rsidR="00811189" w:rsidRPr="00322DB3">
        <w:rPr>
          <w:rFonts w:ascii="Times New Roman" w:hAnsi="Times New Roman" w:cs="Times New Roman"/>
        </w:rPr>
        <w:t>: EG0</w:t>
      </w:r>
      <w:r w:rsidR="005D4F05">
        <w:rPr>
          <w:rFonts w:ascii="Times New Roman" w:hAnsi="Times New Roman" w:cs="Times New Roman"/>
        </w:rPr>
        <w:t xml:space="preserve"> </w:t>
      </w:r>
      <w:r w:rsidR="00BD1E6C">
        <w:rPr>
          <w:rFonts w:ascii="Times New Roman" w:hAnsi="Times New Roman" w:cs="Times New Roman"/>
        </w:rPr>
        <w:t>&lt; 0</w:t>
      </w:r>
      <w:r w:rsidR="00811189" w:rsidRPr="00322DB3">
        <w:rPr>
          <w:rFonts w:ascii="Times New Roman" w:hAnsi="Times New Roman" w:cs="Times New Roman"/>
        </w:rPr>
        <w:t>, EG1</w:t>
      </w:r>
      <w:r w:rsidR="00BD1E6C">
        <w:rPr>
          <w:rFonts w:ascii="Times New Roman" w:hAnsi="Times New Roman" w:cs="Times New Roman"/>
        </w:rPr>
        <w:t xml:space="preserve"> &lt; </w:t>
      </w:r>
      <w:r w:rsidR="00BD1E6C" w:rsidRPr="00322DB3">
        <w:rPr>
          <w:rFonts w:ascii="Times New Roman" w:hAnsi="Times New Roman" w:cs="Times New Roman"/>
        </w:rPr>
        <w:t>growth_threshold</w:t>
      </w:r>
      <w:r w:rsidR="007E4CA6" w:rsidRPr="00322DB3">
        <w:rPr>
          <w:rFonts w:ascii="Times New Roman" w:hAnsi="Times New Roman" w:cs="Times New Roman"/>
        </w:rPr>
        <w:t>, EG2</w:t>
      </w:r>
      <w:r w:rsidR="00BD1E6C">
        <w:rPr>
          <w:rFonts w:ascii="Times New Roman" w:hAnsi="Times New Roman" w:cs="Times New Roman"/>
        </w:rPr>
        <w:t xml:space="preserve"> &gt; </w:t>
      </w:r>
      <w:r w:rsidR="00BD1E6C" w:rsidRPr="00322DB3">
        <w:rPr>
          <w:rFonts w:ascii="Times New Roman" w:hAnsi="Times New Roman" w:cs="Times New Roman"/>
        </w:rPr>
        <w:t>growth_threshold</w:t>
      </w:r>
    </w:p>
    <w:p w14:paraId="6E3312EE" w14:textId="6EC393B8" w:rsidR="00FC19D1" w:rsidRPr="00322DB3" w:rsidRDefault="00811189" w:rsidP="00FC19D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growth_threshold = 10</w:t>
      </w:r>
    </w:p>
    <w:p w14:paraId="7278E68D" w14:textId="36C420C3" w:rsidR="00490F97" w:rsidRPr="00322DB3" w:rsidRDefault="00490F97" w:rsidP="00490F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 xml:space="preserve">Employment drop - employment drop in any of the yeas </w:t>
      </w:r>
      <w:r w:rsidR="0060366B" w:rsidRPr="00322DB3">
        <w:rPr>
          <w:rFonts w:ascii="Times New Roman" w:hAnsi="Times New Roman" w:cs="Times New Roman"/>
        </w:rPr>
        <w:t>vs previous year</w:t>
      </w:r>
    </w:p>
    <w:p w14:paraId="4BF6A8F3" w14:textId="09556D04" w:rsidR="00CF25FB" w:rsidRPr="007B117F" w:rsidRDefault="005B35F2" w:rsidP="004E2A92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7B117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Statistics:</w:t>
      </w:r>
    </w:p>
    <w:p w14:paraId="229918F6" w14:textId="1AF5A30B" w:rsidR="005B35F2" w:rsidRPr="00322DB3" w:rsidRDefault="005B35F2" w:rsidP="005B35F2">
      <w:p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2027 companies</w:t>
      </w:r>
    </w:p>
    <w:p w14:paraId="36512EFF" w14:textId="5BA6C919" w:rsidR="00047AB7" w:rsidRPr="00322DB3" w:rsidRDefault="00047AB7" w:rsidP="005B35F2">
      <w:p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1474 after clean</w:t>
      </w:r>
      <w:r w:rsidR="00322DB3" w:rsidRPr="00322DB3">
        <w:rPr>
          <w:rFonts w:ascii="Times New Roman" w:hAnsi="Times New Roman" w:cs="Times New Roman"/>
          <w:lang w:val="en-US"/>
        </w:rPr>
        <w:t>-</w:t>
      </w:r>
      <w:r w:rsidRPr="00322DB3">
        <w:rPr>
          <w:rFonts w:ascii="Times New Roman" w:hAnsi="Times New Roman" w:cs="Times New Roman"/>
          <w:lang w:val="en-US"/>
        </w:rPr>
        <w:t>up</w:t>
      </w:r>
      <w:r w:rsidR="00786D9E">
        <w:rPr>
          <w:rFonts w:ascii="Times New Roman" w:hAnsi="Times New Roman" w:cs="Times New Roman"/>
          <w:lang w:val="en-US"/>
        </w:rPr>
        <w:t xml:space="preserve"> (1455 appeared on the list in 2019 and 2023)</w:t>
      </w:r>
    </w:p>
    <w:p w14:paraId="4B24D38E" w14:textId="77777777" w:rsidR="00322DB3" w:rsidRPr="00322DB3" w:rsidRDefault="00322DB3" w:rsidP="00322DB3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</w:rPr>
      </w:pPr>
      <w:r w:rsidRPr="00322DB3">
        <w:rPr>
          <w:rFonts w:ascii="Times New Roman" w:eastAsia="Times New Roman" w:hAnsi="Times New Roman" w:cs="Times New Roman"/>
        </w:rPr>
        <w:t>Number of companies removed due to sector considerations is: 7</w:t>
      </w:r>
    </w:p>
    <w:p w14:paraId="5ED4D3BD" w14:textId="77777777" w:rsidR="00322DB3" w:rsidRPr="00322DB3" w:rsidRDefault="00322DB3" w:rsidP="00322DB3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</w:rPr>
      </w:pPr>
      <w:r w:rsidRPr="00322DB3">
        <w:rPr>
          <w:rFonts w:ascii="Times New Roman" w:eastAsia="Times New Roman" w:hAnsi="Times New Roman" w:cs="Times New Roman"/>
        </w:rPr>
        <w:t>Number of companies with sales or employment in 2019 or 2023 equal to 0 is: 301</w:t>
      </w:r>
    </w:p>
    <w:p w14:paraId="6902A997" w14:textId="622F6CC3" w:rsidR="005F6BD0" w:rsidRDefault="00322DB3" w:rsidP="00322DB3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</w:rPr>
      </w:pPr>
      <w:r w:rsidRPr="00322DB3">
        <w:rPr>
          <w:rFonts w:ascii="Times New Roman" w:eastAsia="Times New Roman" w:hAnsi="Times New Roman" w:cs="Times New Roman"/>
        </w:rPr>
        <w:t>Number of companies, which did not appear on the 2000 List in 2023 is: 135</w:t>
      </w:r>
    </w:p>
    <w:p w14:paraId="69A44C54" w14:textId="77777777" w:rsidR="00732917" w:rsidRDefault="00732917" w:rsidP="007329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</w:rPr>
      </w:pPr>
    </w:p>
    <w:p w14:paraId="1B7B4BB4" w14:textId="6AFE5768" w:rsidR="00732917" w:rsidRPr="00732917" w:rsidRDefault="00732917" w:rsidP="007329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  <w:b/>
          <w:bCs/>
        </w:rPr>
      </w:pPr>
      <w:r w:rsidRPr="00732917">
        <w:rPr>
          <w:rFonts w:ascii="Times New Roman" w:eastAsia="Times New Roman" w:hAnsi="Times New Roman" w:cs="Times New Roman"/>
          <w:b/>
          <w:bCs/>
        </w:rPr>
        <w:t>Other</w:t>
      </w:r>
      <w:r>
        <w:rPr>
          <w:rFonts w:ascii="Times New Roman" w:eastAsia="Times New Roman" w:hAnsi="Times New Roman" w:cs="Times New Roman"/>
          <w:b/>
          <w:bCs/>
        </w:rPr>
        <w:t>:</w:t>
      </w:r>
    </w:p>
    <w:p w14:paraId="13D907AD" w14:textId="5DD490B3" w:rsidR="00732917" w:rsidRPr="00732917" w:rsidRDefault="006413F1" w:rsidP="00732917">
      <w:pPr>
        <w:rPr>
          <w:rFonts w:ascii="Times New Roman" w:hAnsi="Times New Roman" w:cs="Times New Roman"/>
          <w:lang w:val="en-US"/>
        </w:rPr>
      </w:pPr>
      <w:proofErr w:type="spellStart"/>
      <w:r w:rsidRPr="006413F1">
        <w:rPr>
          <w:rFonts w:ascii="Times New Roman" w:hAnsi="Times New Roman" w:cs="Times New Roman"/>
          <w:lang w:val="en-US"/>
        </w:rPr>
        <w:t>Pekabex</w:t>
      </w:r>
      <w:proofErr w:type="spellEnd"/>
      <w:r w:rsidRPr="006413F1">
        <w:rPr>
          <w:rFonts w:ascii="Times New Roman" w:hAnsi="Times New Roman" w:cs="Times New Roman"/>
          <w:lang w:val="en-US"/>
        </w:rPr>
        <w:t xml:space="preserve"> SA GK, </w:t>
      </w:r>
      <w:proofErr w:type="spellStart"/>
      <w:r w:rsidRPr="006413F1">
        <w:rPr>
          <w:rFonts w:ascii="Times New Roman" w:hAnsi="Times New Roman" w:cs="Times New Roman"/>
          <w:lang w:val="en-US"/>
        </w:rPr>
        <w:t>Poznań</w:t>
      </w:r>
      <w:proofErr w:type="spellEnd"/>
      <w:r w:rsidRPr="006413F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– wrong </w:t>
      </w:r>
      <w:proofErr w:type="spellStart"/>
      <w:r>
        <w:rPr>
          <w:rFonts w:ascii="Times New Roman" w:hAnsi="Times New Roman" w:cs="Times New Roman"/>
          <w:lang w:val="en-US"/>
        </w:rPr>
        <w:t>emplolyment</w:t>
      </w:r>
      <w:proofErr w:type="spellEnd"/>
      <w:r>
        <w:rPr>
          <w:rFonts w:ascii="Times New Roman" w:hAnsi="Times New Roman" w:cs="Times New Roman"/>
          <w:lang w:val="en-US"/>
        </w:rPr>
        <w:t xml:space="preserve"> in 2021 – replaced with data in 2022 - </w:t>
      </w:r>
      <w:r w:rsidR="00732917" w:rsidRPr="00732917">
        <w:rPr>
          <w:rFonts w:ascii="Times New Roman" w:hAnsi="Times New Roman" w:cs="Times New Roman"/>
          <w:lang w:val="en-US"/>
        </w:rPr>
        <w:t xml:space="preserve">2 752 </w:t>
      </w:r>
    </w:p>
    <w:p w14:paraId="53B1AEEB" w14:textId="77777777" w:rsidR="00732917" w:rsidRPr="00732917" w:rsidRDefault="00732917" w:rsidP="007329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</w:rPr>
      </w:pPr>
    </w:p>
    <w:sectPr w:rsidR="00732917" w:rsidRPr="00732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D0B"/>
    <w:multiLevelType w:val="hybridMultilevel"/>
    <w:tmpl w:val="B5DE77E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03A80"/>
    <w:multiLevelType w:val="multilevel"/>
    <w:tmpl w:val="F4482BA8"/>
    <w:lvl w:ilvl="0">
      <w:start w:val="1"/>
      <w:numFmt w:val="decimal"/>
      <w:pStyle w:val="Tab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8C31FE8"/>
    <w:multiLevelType w:val="hybridMultilevel"/>
    <w:tmpl w:val="7B9EEE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A428A"/>
    <w:multiLevelType w:val="hybridMultilevel"/>
    <w:tmpl w:val="AE48A0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1D4FAC"/>
    <w:multiLevelType w:val="hybridMultilevel"/>
    <w:tmpl w:val="5A284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6598E"/>
    <w:multiLevelType w:val="hybridMultilevel"/>
    <w:tmpl w:val="51B2715E"/>
    <w:lvl w:ilvl="0" w:tplc="0AD6330C">
      <w:start w:val="1"/>
      <w:numFmt w:val="decimal"/>
      <w:lvlText w:val="Table %1."/>
      <w:lvlJc w:val="left"/>
      <w:pPr>
        <w:ind w:left="37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4B4AAF"/>
    <w:multiLevelType w:val="hybridMultilevel"/>
    <w:tmpl w:val="BCE09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33E9C"/>
    <w:multiLevelType w:val="hybridMultilevel"/>
    <w:tmpl w:val="EAD8E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D3AE6"/>
    <w:multiLevelType w:val="hybridMultilevel"/>
    <w:tmpl w:val="6E5C46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837072">
    <w:abstractNumId w:val="5"/>
  </w:num>
  <w:num w:numId="2" w16cid:durableId="209461056">
    <w:abstractNumId w:val="1"/>
  </w:num>
  <w:num w:numId="3" w16cid:durableId="1587811416">
    <w:abstractNumId w:val="7"/>
  </w:num>
  <w:num w:numId="4" w16cid:durableId="1198658236">
    <w:abstractNumId w:val="4"/>
  </w:num>
  <w:num w:numId="5" w16cid:durableId="270206727">
    <w:abstractNumId w:val="3"/>
  </w:num>
  <w:num w:numId="6" w16cid:durableId="1351834422">
    <w:abstractNumId w:val="3"/>
  </w:num>
  <w:num w:numId="7" w16cid:durableId="695160323">
    <w:abstractNumId w:val="0"/>
  </w:num>
  <w:num w:numId="8" w16cid:durableId="1652977060">
    <w:abstractNumId w:val="8"/>
  </w:num>
  <w:num w:numId="9" w16cid:durableId="291599692">
    <w:abstractNumId w:val="2"/>
  </w:num>
  <w:num w:numId="10" w16cid:durableId="92169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60"/>
    <w:rsid w:val="00035BEE"/>
    <w:rsid w:val="00047AB7"/>
    <w:rsid w:val="0006603D"/>
    <w:rsid w:val="00134AE2"/>
    <w:rsid w:val="00191D0F"/>
    <w:rsid w:val="001A5121"/>
    <w:rsid w:val="00212114"/>
    <w:rsid w:val="0022718C"/>
    <w:rsid w:val="00301140"/>
    <w:rsid w:val="00301B2E"/>
    <w:rsid w:val="00322DB3"/>
    <w:rsid w:val="00322EDF"/>
    <w:rsid w:val="003314F5"/>
    <w:rsid w:val="00333B59"/>
    <w:rsid w:val="0036269A"/>
    <w:rsid w:val="00386EB8"/>
    <w:rsid w:val="003C7294"/>
    <w:rsid w:val="003E39CB"/>
    <w:rsid w:val="00413A2A"/>
    <w:rsid w:val="004453B7"/>
    <w:rsid w:val="00490F97"/>
    <w:rsid w:val="004D6855"/>
    <w:rsid w:val="004E2A92"/>
    <w:rsid w:val="00562A6C"/>
    <w:rsid w:val="005B35F2"/>
    <w:rsid w:val="005D4F05"/>
    <w:rsid w:val="005E0F38"/>
    <w:rsid w:val="005F0DCC"/>
    <w:rsid w:val="005F0F76"/>
    <w:rsid w:val="005F6BD0"/>
    <w:rsid w:val="0060366B"/>
    <w:rsid w:val="006413F1"/>
    <w:rsid w:val="00646317"/>
    <w:rsid w:val="00663642"/>
    <w:rsid w:val="006A18E4"/>
    <w:rsid w:val="00732917"/>
    <w:rsid w:val="00732ACF"/>
    <w:rsid w:val="00762C0D"/>
    <w:rsid w:val="00786D9E"/>
    <w:rsid w:val="00790AFF"/>
    <w:rsid w:val="007915BD"/>
    <w:rsid w:val="00792049"/>
    <w:rsid w:val="007B117F"/>
    <w:rsid w:val="007E4B92"/>
    <w:rsid w:val="007E4CA6"/>
    <w:rsid w:val="00800C57"/>
    <w:rsid w:val="00811189"/>
    <w:rsid w:val="00812E3C"/>
    <w:rsid w:val="0090054C"/>
    <w:rsid w:val="0092101A"/>
    <w:rsid w:val="009663FA"/>
    <w:rsid w:val="00A223B1"/>
    <w:rsid w:val="00A3204F"/>
    <w:rsid w:val="00A71B22"/>
    <w:rsid w:val="00AC0994"/>
    <w:rsid w:val="00AC2FAE"/>
    <w:rsid w:val="00B2550D"/>
    <w:rsid w:val="00B80B19"/>
    <w:rsid w:val="00BB3124"/>
    <w:rsid w:val="00BC68EA"/>
    <w:rsid w:val="00BD1E6C"/>
    <w:rsid w:val="00BF1151"/>
    <w:rsid w:val="00CC7D04"/>
    <w:rsid w:val="00CD2C85"/>
    <w:rsid w:val="00CD38F2"/>
    <w:rsid w:val="00CF25FB"/>
    <w:rsid w:val="00D630DF"/>
    <w:rsid w:val="00D70F6B"/>
    <w:rsid w:val="00DA5E57"/>
    <w:rsid w:val="00DA7939"/>
    <w:rsid w:val="00DB0CF9"/>
    <w:rsid w:val="00DB0D64"/>
    <w:rsid w:val="00E13B2A"/>
    <w:rsid w:val="00E17EE6"/>
    <w:rsid w:val="00E3493D"/>
    <w:rsid w:val="00E450DC"/>
    <w:rsid w:val="00EC277D"/>
    <w:rsid w:val="00F04060"/>
    <w:rsid w:val="00F14C3C"/>
    <w:rsid w:val="00F66825"/>
    <w:rsid w:val="00F74BCB"/>
    <w:rsid w:val="00FB7480"/>
    <w:rsid w:val="00FC19D1"/>
    <w:rsid w:val="00FF093C"/>
    <w:rsid w:val="00FF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3658DF"/>
  <w15:chartTrackingRefBased/>
  <w15:docId w15:val="{1BC19603-CC84-5049-982B-03EA08C7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060"/>
    <w:rPr>
      <w:rFonts w:ascii="Aptos" w:eastAsia="Aptos" w:hAnsi="Aptos" w:cs="Aptos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0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40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0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0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0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0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0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TOC1"/>
    <w:link w:val="TableChar"/>
    <w:autoRedefine/>
    <w:qFormat/>
    <w:rsid w:val="00BB3124"/>
    <w:pPr>
      <w:numPr>
        <w:numId w:val="2"/>
      </w:numPr>
      <w:tabs>
        <w:tab w:val="left" w:pos="720"/>
      </w:tabs>
      <w:spacing w:before="120" w:after="120"/>
      <w:ind w:left="371" w:hanging="360"/>
      <w:jc w:val="center"/>
    </w:pPr>
    <w:rPr>
      <w:rFonts w:cstheme="minorHAnsi"/>
      <w:b/>
      <w:bCs/>
      <w:noProof/>
    </w:rPr>
  </w:style>
  <w:style w:type="character" w:customStyle="1" w:styleId="TableChar">
    <w:name w:val="Table Char"/>
    <w:basedOn w:val="DefaultParagraphFont"/>
    <w:link w:val="Table"/>
    <w:rsid w:val="00BB3124"/>
    <w:rPr>
      <w:rFonts w:cstheme="minorHAnsi"/>
      <w:b/>
      <w:bCs/>
      <w:noProof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B3124"/>
  </w:style>
  <w:style w:type="character" w:customStyle="1" w:styleId="Heading1Char">
    <w:name w:val="Heading 1 Char"/>
    <w:basedOn w:val="DefaultParagraphFont"/>
    <w:link w:val="Heading1"/>
    <w:uiPriority w:val="9"/>
    <w:rsid w:val="00F0406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l-PL" w:eastAsia="pl-PL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406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l-PL" w:eastAsia="pl-P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04060"/>
    <w:rPr>
      <w:rFonts w:eastAsiaTheme="majorEastAsia" w:cstheme="majorBidi"/>
      <w:color w:val="0F4761" w:themeColor="accent1" w:themeShade="BF"/>
      <w:kern w:val="0"/>
      <w:sz w:val="28"/>
      <w:szCs w:val="28"/>
      <w:lang w:val="pl-PL" w:eastAsia="pl-P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04060"/>
    <w:rPr>
      <w:rFonts w:eastAsiaTheme="majorEastAsia" w:cstheme="majorBidi"/>
      <w:i/>
      <w:iCs/>
      <w:color w:val="0F4761" w:themeColor="accent1" w:themeShade="BF"/>
      <w:kern w:val="0"/>
      <w:lang w:val="pl-PL" w:eastAsia="pl-PL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060"/>
    <w:rPr>
      <w:rFonts w:eastAsiaTheme="majorEastAsia" w:cstheme="majorBidi"/>
      <w:color w:val="0F4761" w:themeColor="accent1" w:themeShade="BF"/>
      <w:kern w:val="0"/>
      <w:lang w:val="pl-PL" w:eastAsia="pl-PL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060"/>
    <w:rPr>
      <w:rFonts w:eastAsiaTheme="majorEastAsia" w:cstheme="majorBidi"/>
      <w:i/>
      <w:iCs/>
      <w:color w:val="595959" w:themeColor="text1" w:themeTint="A6"/>
      <w:kern w:val="0"/>
      <w:lang w:val="pl-PL" w:eastAsia="pl-PL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060"/>
    <w:rPr>
      <w:rFonts w:eastAsiaTheme="majorEastAsia" w:cstheme="majorBidi"/>
      <w:color w:val="595959" w:themeColor="text1" w:themeTint="A6"/>
      <w:kern w:val="0"/>
      <w:lang w:val="pl-PL" w:eastAsia="pl-PL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060"/>
    <w:rPr>
      <w:rFonts w:eastAsiaTheme="majorEastAsia" w:cstheme="majorBidi"/>
      <w:i/>
      <w:iCs/>
      <w:color w:val="272727" w:themeColor="text1" w:themeTint="D8"/>
      <w:kern w:val="0"/>
      <w:lang w:val="pl-PL" w:eastAsia="pl-PL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060"/>
    <w:rPr>
      <w:rFonts w:eastAsiaTheme="majorEastAsia" w:cstheme="majorBidi"/>
      <w:color w:val="272727" w:themeColor="text1" w:themeTint="D8"/>
      <w:kern w:val="0"/>
      <w:lang w:val="pl-PL" w:eastAsia="pl-PL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040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060"/>
    <w:rPr>
      <w:rFonts w:asciiTheme="majorHAnsi" w:eastAsiaTheme="majorEastAsia" w:hAnsiTheme="majorHAnsi" w:cstheme="majorBidi"/>
      <w:spacing w:val="-10"/>
      <w:kern w:val="28"/>
      <w:sz w:val="56"/>
      <w:szCs w:val="56"/>
      <w:lang w:val="pl-PL" w:eastAsia="pl-PL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0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06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l-PL" w:eastAsia="pl-PL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040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060"/>
    <w:rPr>
      <w:rFonts w:ascii="Arial" w:hAnsi="Arial" w:cs="Times New Roman"/>
      <w:i/>
      <w:iCs/>
      <w:color w:val="404040" w:themeColor="text1" w:themeTint="BF"/>
      <w:kern w:val="0"/>
      <w:lang w:val="pl-PL" w:eastAsia="pl-PL"/>
      <w14:ligatures w14:val="none"/>
    </w:rPr>
  </w:style>
  <w:style w:type="paragraph" w:styleId="ListParagraph">
    <w:name w:val="List Paragraph"/>
    <w:basedOn w:val="Normal"/>
    <w:uiPriority w:val="34"/>
    <w:qFormat/>
    <w:rsid w:val="00F0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060"/>
    <w:rPr>
      <w:rFonts w:ascii="Arial" w:hAnsi="Arial" w:cs="Times New Roman"/>
      <w:i/>
      <w:iCs/>
      <w:color w:val="0F4761" w:themeColor="accent1" w:themeShade="BF"/>
      <w:kern w:val="0"/>
      <w:lang w:val="pl-PL" w:eastAsia="pl-PL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0406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DB3"/>
    <w:rPr>
      <w:rFonts w:ascii="Courier New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301</Words>
  <Characters>1494</Characters>
  <Application>Microsoft Office Word</Application>
  <DocSecurity>0</DocSecurity>
  <Lines>38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Pietruszewski</dc:creator>
  <cp:keywords/>
  <dc:description/>
  <cp:lastModifiedBy>Adam Pietruszewski</cp:lastModifiedBy>
  <cp:revision>70</cp:revision>
  <dcterms:created xsi:type="dcterms:W3CDTF">2024-09-05T16:13:00Z</dcterms:created>
  <dcterms:modified xsi:type="dcterms:W3CDTF">2026-03-04T14:08:00Z</dcterms:modified>
</cp:coreProperties>
</file>