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Phillips Europe Sp. z o.o. - raport analityczny</w:t>
      </w:r>
    </w:p>
    <w:p>
      <w:r>
        <w:rPr>
          <w:i/>
        </w:rPr>
        <w:t>Wersja: 2026-08-04 | Plik źródłowy: Outputs/Phillips_Europe_Baza_dowodow.xlsx | Tryb: niezależny Prompt 2 po zakończeniu przeglądu badacza</w:t>
      </w:r>
    </w:p>
    <w:p>
      <w:pPr>
        <w:pStyle w:val="Heading1"/>
      </w:pPr>
      <w:r>
        <w:t>Zestawienie kontrolne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t>Pole</w:t>
            </w:r>
          </w:p>
        </w:tc>
        <w:tc>
          <w:tcPr>
            <w:tcW w:type="dxa" w:w="4680"/>
            <w:shd w:fill="F2F4F7"/>
            <w:vAlign w:val="center"/>
          </w:tcPr>
          <w:p>
            <w:r>
              <w:t>Wartość</w:t>
            </w:r>
          </w:p>
        </w:tc>
      </w:tr>
      <w:tr>
        <w:tc>
          <w:tcPr>
            <w:tcW w:type="dxa" w:w="2600"/>
            <w:vAlign w:val="top"/>
          </w:tcPr>
          <w:p>
            <w:r>
              <w:t>Wiersze w bazie</w:t>
            </w:r>
          </w:p>
        </w:tc>
        <w:tc>
          <w:tcPr>
            <w:tcW w:type="dxa" w:w="6700"/>
            <w:vAlign w:val="top"/>
          </w:tcPr>
          <w:p>
            <w:r>
              <w:t>112</w:t>
            </w:r>
          </w:p>
        </w:tc>
      </w:tr>
      <w:tr>
        <w:tc>
          <w:tcPr>
            <w:tcW w:type="dxa" w:w="2600"/>
            <w:vAlign w:val="top"/>
          </w:tcPr>
          <w:p>
            <w:r>
              <w:t>Wiersze przyjęte</w:t>
            </w:r>
          </w:p>
        </w:tc>
        <w:tc>
          <w:tcPr>
            <w:tcW w:type="dxa" w:w="6700"/>
            <w:vAlign w:val="top"/>
          </w:tcPr>
          <w:p>
            <w:r>
              <w:t>112</w:t>
            </w:r>
          </w:p>
        </w:tc>
      </w:tr>
      <w:tr>
        <w:tc>
          <w:tcPr>
            <w:tcW w:type="dxa" w:w="2600"/>
            <w:vAlign w:val="top"/>
          </w:tcPr>
          <w:p>
            <w:r>
              <w:t>Źródła i ścieżki kwerendy</w:t>
            </w:r>
          </w:p>
        </w:tc>
        <w:tc>
          <w:tcPr>
            <w:tcW w:type="dxa" w:w="6700"/>
            <w:vAlign w:val="top"/>
          </w:tcPr>
          <w:p>
            <w:r>
              <w:t>42</w:t>
            </w:r>
          </w:p>
        </w:tc>
      </w:tr>
      <w:tr>
        <w:tc>
          <w:tcPr>
            <w:tcW w:type="dxa" w:w="2600"/>
            <w:vAlign w:val="top"/>
          </w:tcPr>
          <w:p>
            <w:r>
              <w:t>Wykluczone: odrzuć</w:t>
            </w:r>
          </w:p>
        </w:tc>
        <w:tc>
          <w:tcPr>
            <w:tcW w:type="dxa" w:w="6700"/>
            <w:vAlign w:val="top"/>
          </w:tcPr>
          <w:p>
            <w:r>
              <w:t>0</w:t>
            </w:r>
          </w:p>
        </w:tc>
      </w:tr>
      <w:tr>
        <w:tc>
          <w:tcPr>
            <w:tcW w:type="dxa" w:w="2600"/>
            <w:vAlign w:val="top"/>
          </w:tcPr>
          <w:p>
            <w:r>
              <w:t>Wykluczone: popraw</w:t>
            </w:r>
          </w:p>
        </w:tc>
        <w:tc>
          <w:tcPr>
            <w:tcW w:type="dxa" w:w="6700"/>
            <w:vAlign w:val="top"/>
          </w:tcPr>
          <w:p>
            <w:r>
              <w:t>0</w:t>
            </w:r>
          </w:p>
        </w:tc>
      </w:tr>
      <w:tr>
        <w:tc>
          <w:tcPr>
            <w:tcW w:type="dxa" w:w="2600"/>
            <w:vAlign w:val="top"/>
          </w:tcPr>
          <w:p>
            <w:r>
              <w:t>Wykluczone: zweryfikuj</w:t>
            </w:r>
          </w:p>
        </w:tc>
        <w:tc>
          <w:tcPr>
            <w:tcW w:type="dxa" w:w="6700"/>
            <w:vAlign w:val="top"/>
          </w:tcPr>
          <w:p>
            <w:r>
              <w:t>0</w:t>
            </w:r>
          </w:p>
        </w:tc>
      </w:tr>
      <w:tr>
        <w:tc>
          <w:tcPr>
            <w:tcW w:type="dxa" w:w="2600"/>
            <w:vAlign w:val="top"/>
          </w:tcPr>
          <w:p>
            <w:r>
              <w:t>Status przeglądu</w:t>
            </w:r>
          </w:p>
        </w:tc>
        <w:tc>
          <w:tcPr>
            <w:tcW w:type="dxa" w:w="6700"/>
            <w:vAlign w:val="top"/>
          </w:tcPr>
          <w:p>
            <w:r>
              <w:t>zakończony</w:t>
            </w:r>
          </w:p>
        </w:tc>
      </w:tr>
    </w:tbl>
    <w:p>
      <w:pPr>
        <w:pStyle w:val="Heading1"/>
      </w:pPr>
      <w:r>
        <w:t>1. Identyfikacja podmiotu</w:t>
      </w:r>
    </w:p>
    <w:p>
      <w:r>
        <w:t>Jednostką analizy jest Phillips Europe Sp. z o.o., Krajowy Rejestr Sądowy 0000654066, Numer Identyfikacji Podatkowej 7010644754, Rejestr Gospodarki Narodowej 366145172, z adresem ul. Zwycięstwa 32, 95-082 Chechło Pierwsze. Źródła rejestrowe identyfikują podmiot jako aktywną spółkę z ograniczoną odpowiedzialnością oraz wskazują Polską Klasyfikację Działalności 29.32.Z i datę rejestracji 22.12.2016 [PE-046]. Baza rozróżnia badany KRS od grupy Phillips Industries/Phillips Technologies Group oraz od innych podmiotów o podobnej nazwie [PE-002, PE-049].</w:t>
      </w:r>
    </w:p>
    <w:p>
      <w:r>
        <w:t>Struktura właścicielska jest opisana przez agregator danych KRS: Phillips Technologies Group figuruje jako jedyny wspólnik z 38 000 udziałów o łącznej wartości 1,9 mln zł [PE-049]. Kapitał zakładowy i data rejestracji wymagają potwierdzenia pełnym odpisem KRS, ale są spójne z identyfikacją rejestrową [PE-048].</w:t>
      </w:r>
    </w:p>
    <w:p>
      <w:pPr>
        <w:pStyle w:val="Heading1"/>
      </w:pPr>
      <w:r>
        <w:t>2. Nota metodologiczna</w:t>
      </w:r>
    </w:p>
    <w:p>
      <w:r>
        <w:t>Raport opiera się wyłącznie na niezależnej bazie dowodów przygotowanej w Prompcie 1. Nie prowadzono dodatkowego wyszukiwania i nie dodawano informacji spoza skoroszytu. Przyjęto 112 z 112 wierszy, ponieważ wszystkie pola `wyjatek_badacza` były puste po ustawieniu statusu przeglądu na `zakończony` przez polecenie badacza.</w:t>
      </w:r>
    </w:p>
    <w:p>
      <w:r>
        <w:t>Materiał jest nierówny: formalnych danych jest niewiele, dużo więcej pochodzi ze źródeł branżowych, agregatorów i narracji oficjalnej. Rozkład statusów w przyjętych wierszach: A=7, B=57, C=8, D=29, E=1, F=3, G=7.</w:t>
      </w:r>
    </w:p>
    <w:p>
      <w:pPr>
        <w:pStyle w:val="Heading2"/>
      </w:pPr>
      <w:r>
        <w:t>Słownik skrótów użytych w raporcie</w:t>
      </w:r>
    </w:p>
    <w:p>
      <w:pPr>
        <w:pStyle w:val="ListBullet"/>
      </w:pPr>
      <w:r>
        <w:t>BI - Business Intelligence, czyli narzędzia raportowania i analityki zarządczej.</w:t>
      </w:r>
    </w:p>
    <w:p>
      <w:pPr>
        <w:pStyle w:val="ListBullet"/>
      </w:pPr>
      <w:r>
        <w:t>B2B - Business-to-Business, czyli relacja sprzedażowa między przedsiębiorstwami.</w:t>
      </w:r>
    </w:p>
    <w:p>
      <w:pPr>
        <w:pStyle w:val="ListBullet"/>
      </w:pPr>
      <w:r>
        <w:t>CSR - Corporate Social Responsibility, czyli społeczna odpowiedzialność biznesu.</w:t>
      </w:r>
    </w:p>
    <w:p>
      <w:pPr>
        <w:pStyle w:val="ListBullet"/>
      </w:pPr>
      <w:r>
        <w:t>ERP - Enterprise Resource Planning, czyli zintegrowany system zarządzania zasobami przedsiębiorstwa.</w:t>
      </w:r>
    </w:p>
    <w:p>
      <w:pPr>
        <w:pStyle w:val="ListBullet"/>
      </w:pPr>
      <w:r>
        <w:t>JIT - Just-in-Time, czyli dostawy dokładnie na czas.</w:t>
      </w:r>
    </w:p>
    <w:p>
      <w:pPr>
        <w:pStyle w:val="ListBullet"/>
      </w:pPr>
      <w:r>
        <w:t>KRS - Krajowy Rejestr Sądowy.</w:t>
      </w:r>
    </w:p>
    <w:p>
      <w:pPr>
        <w:pStyle w:val="ListBullet"/>
      </w:pPr>
      <w:r>
        <w:t>MES - Manufacturing Execution System, czyli system realizacji i nadzoru produkcji.</w:t>
      </w:r>
    </w:p>
    <w:p>
      <w:pPr>
        <w:pStyle w:val="ListBullet"/>
      </w:pPr>
      <w:r>
        <w:t>OE/OEM - Original Equipment / Original Equipment Manufacturer, czyli dostawy na pierwszy montaż i do producentów oryginalnego wyposażenia.</w:t>
      </w:r>
    </w:p>
    <w:p>
      <w:pPr>
        <w:pStyle w:val="ListBullet"/>
      </w:pPr>
      <w:r>
        <w:t>OEE - Overall Equipment Effectiveness, czyli całkowita efektywność wyposażenia.</w:t>
      </w:r>
    </w:p>
    <w:p>
      <w:pPr>
        <w:pStyle w:val="ListBullet"/>
      </w:pPr>
      <w:r>
        <w:t>R&amp;D / B+R - Research and Development / badania i rozwój.</w:t>
      </w:r>
    </w:p>
    <w:p>
      <w:pPr>
        <w:pStyle w:val="ListBullet"/>
      </w:pPr>
      <w:r>
        <w:t>RDF - Repozytorium Dokumentów Finansowych Krajowego Rejestru Sądowego.</w:t>
      </w:r>
    </w:p>
    <w:p>
      <w:pPr>
        <w:pStyle w:val="ListBullet"/>
      </w:pPr>
      <w:r>
        <w:t>WMS - Warehouse Management System, czyli system zarządzania magazynem.</w:t>
      </w:r>
    </w:p>
    <w:p>
      <w:pPr>
        <w:pStyle w:val="Heading1"/>
      </w:pPr>
      <w:r>
        <w:t>3. Kontekst wyjściowy</w:t>
      </w:r>
    </w:p>
    <w:p>
      <w:r>
        <w:t>Na wejściu w 2019 r. spółka była częścią międzynarodowej grupy Phillips i funkcjonowała jako polski zakład/struktura europejska po wcześniejszym przejęciu lokalnego podmiotu [PE-002, PE-049]. Późniejsze źródła oficjalne i menedżerskie doprecyzowują, że europejska funkcja Phillips wiązała się z rokiem 2018 i przejęciem produkcji oraz dystrybucji produktów 24V na wiele regionów świata [PE-092, PE-105].</w:t>
      </w:r>
    </w:p>
    <w:p>
      <w:r>
        <w:t>Wstępne dane finansowe z agregatorów sugerują fazę budowy skali, lecz bez dokumentów z Repozytorium Dokumentów Finansowych KRS nie można traktować ich jako rozstrzygających danych formalnych [PE-006-PE-010, PE-047].</w:t>
      </w:r>
    </w:p>
    <w:p>
      <w:pPr>
        <w:pStyle w:val="Heading1"/>
      </w:pPr>
      <w:r>
        <w:t>4. Trajektoria czasowa</w:t>
      </w:r>
    </w:p>
    <w:p>
      <w:pPr>
        <w:pStyle w:val="Heading2"/>
      </w:pPr>
      <w:r>
        <w:t>P1: 2019-2020</w:t>
      </w:r>
    </w:p>
    <w:p>
      <w:r>
        <w:t>Dla P1 baza pokazuje przede wszystkim dane finansowe z agregatorów i zdarzenia przywódcze. Komunikat grupowy wskazuje awans Julity Mazurkiewicz do Management Board Phillips-Europe w 2020 r., co może sugerować wzrost znaczenia lokalno-europejnej funkcji zarządczej [PE-083]. Brakuje twardych danych o reakcji COVID-19, cyfryzacji i kulturze organizacyjnej w tym okresie [PE-086, PE-087].</w:t>
      </w:r>
    </w:p>
    <w:p>
      <w:pPr>
        <w:pStyle w:val="Heading2"/>
      </w:pPr>
      <w:r>
        <w:t>P2: 2020-2022</w:t>
      </w:r>
    </w:p>
    <w:p>
      <w:r>
        <w:t>P2 jest najlepiej nasycony narracjami o rozwoju operacyjnym. Źródła branżowe opisują szybki wzrost obrotów, inwestycje w park maszynowy, rozbudowę zakładu, większą produkcję własną i ograniczanie ryzyka dostawców zewnętrznych [PE-053, PE-055, PE-057, PE-058]. Dla cyfryzacji pojawia się trop e-commerce oraz systemu Enterprise Resource Planning, ale bez pełnej osi wdrożeń [PE-060, PE-063].</w:t>
      </w:r>
    </w:p>
    <w:p>
      <w:r>
        <w:t>W tym okresie ujawnia się narracja pracodawcza i społecznej odpowiedzialności biznesu: nagroda Good Employer 2022, działania społeczne oraz debata EFB są ważnymi tropami do wywiadów, ale nie są reprezentatywnym pomiarem kultury [PE-076-PE-078, PE-091, PE-097].</w:t>
      </w:r>
    </w:p>
    <w:p>
      <w:pPr>
        <w:pStyle w:val="Heading2"/>
      </w:pPr>
      <w:r>
        <w:t>P3: 2022-2024</w:t>
      </w:r>
    </w:p>
    <w:p>
      <w:r>
        <w:t>P3 pokazuje złożony obraz. Relacje branżowe opisują badania i rozwój, produkcję na pierwszy montaż i aftermarket, magazyn wysokiego składowania oraz sprzedaż do Europy, Afryki Północnej, Republiki Południowej Afryki i Australii [PE-061, PE-067-PE-069]. Niezależna kwerenda dodała bardziej konkretne tropy: około 60% eksportu, 30 rynków, Daimler jako największy klient OEM, rozwój regionu DACH, dywersyfikację poza automotive oraz regulamin Platformy B2B z 2023 r. [PE-088, PE-089, PE-093, PE-098, PE-111, PE-112]. Jednocześnie dane finansowe z agregatorów pokazują straty 2023-2024 i rozbieżności, które wymagają RDF [PE-018-PE-026, PE-081, PE-086].</w:t>
      </w:r>
    </w:p>
    <w:p>
      <w:pPr>
        <w:pStyle w:val="Heading2"/>
      </w:pPr>
      <w:r>
        <w:t>Materiał późniejszy</w:t>
      </w:r>
    </w:p>
    <w:p>
      <w:r>
        <w:t>Materiały z lat 2025-2026 potwierdzają aktualne narracje o kompetencjach produkcyjnych, systemie zarządzania magazynem, dostawach Just-in-Time, certyfikatach, zespole 250+ osób, GoWork i LinkedIn, ale nie mogą być automatycznie przypisane do P3 [PE-073-PE-075, PE-079, PE-082, PE-084]. Ich wartość polega głównie na identyfikacji tematów do sprawdzenia historycznego.</w:t>
      </w:r>
    </w:p>
    <w:p>
      <w:pPr>
        <w:pStyle w:val="Heading1"/>
      </w:pPr>
      <w:r>
        <w:t>5. Analiza siedmiu obszarów</w:t>
      </w:r>
    </w:p>
    <w:p>
      <w:pPr>
        <w:pStyle w:val="Heading2"/>
      </w:pPr>
      <w:r>
        <w:t>5.1. Zdolności dynamiczne</w:t>
      </w:r>
    </w:p>
    <w:p>
      <w:r>
        <w:t>Najsilniejszy materiał dotyczy skalowania produkcji, produkcji własnej, B+R, magazynu, modernizacji, jakości i dywersyfikacji segmentów. Część danych jest narracyjna lub późniejsza, więc wymaga potwierdzenia wskaźnikami: nakłady, wydajność, lead time, jakość, wykorzystanie mocy i budżet B+R [PE-057, PE-058, PE-064, PE-066, PE-068-PE-071, PE-093, PE-099, PE-104].</w:t>
      </w:r>
    </w:p>
    <w:p>
      <w:pPr>
        <w:pStyle w:val="Heading2"/>
      </w:pPr>
      <w:r>
        <w:t>5.2. Cyfryzacja</w:t>
      </w:r>
    </w:p>
    <w:p>
      <w:r>
        <w:t>Cyfryzacja jest widoczna przez tropy ERP, e-commerce, Platformy B2B, WMS, CAD/CAM, Comarch XL, OEE, MRP, raportowania i Facility IT. Najmocniejszym P3 jest regulamin Platformy B2B, natomiast późniejsze oferty pracy nie datują wdrożeń w latach 2019-2024. Nie potwierdzono publicznie MES ani BI [PE-060, PE-063, PE-074, PE-087, PE-106-PE-109, PE-111, PE-112].</w:t>
      </w:r>
    </w:p>
    <w:p>
      <w:pPr>
        <w:pStyle w:val="Heading2"/>
      </w:pPr>
      <w:r>
        <w:t>5.3. Umiędzynarodowienie</w:t>
      </w:r>
    </w:p>
    <w:p>
      <w:r>
        <w:t>Umiędzynarodowienie jest dobrze uchwycone jako własność grupowa, funkcja europejska i rynki sprzedaży. Mamy konkretne tropy: około 60% eksportu, 30 rynków, 40% sprzedaży krajowej, Daimler jako największy klient OEM i DACH. Brakuje danych sprzedażowych według klienta, regionu i kanału [PE-049, PE-059, PE-061, PE-067, PE-088, PE-089, PE-098, PE-100, PE-105].</w:t>
      </w:r>
    </w:p>
    <w:p>
      <w:pPr>
        <w:pStyle w:val="Heading2"/>
      </w:pPr>
      <w:r>
        <w:t>5.4. Doświadczenie w zarządzaniu kryzysowym</w:t>
      </w:r>
    </w:p>
    <w:p>
      <w:r>
        <w:t>Materiał pokazuje narrację o szybkiej reakcji na pandemię, lokalnych/europejskich dostawcach i mniejszej zależności od Chin. Profil Forbes łączy pierwsze doświadczenia zarządcze z pandemią i zerwanymi łańcuchami dostaw. Nadal brakuje twardych danych o przestojach, kosztach, absencji i decyzjach kryzysowych [PE-055, PE-058, PE-065, PE-086, PE-096].</w:t>
      </w:r>
    </w:p>
    <w:p>
      <w:pPr>
        <w:pStyle w:val="Heading2"/>
      </w:pPr>
      <w:r>
        <w:t>5.5. Przejawy przywództwa</w:t>
      </w:r>
    </w:p>
    <w:p>
      <w:r>
        <w:t>Przywództwo jest dobrze udokumentowane biograficznie, ale wymaga uporządkowania osi funkcji. Źródła różnie opisują Julitę Mazurkiewicz jako członkinię Management Board, General Counsel Europe, Vice President / General Manager, Chief Executive Officer / President i prezeskę. Forbes wzmacnia sekwencję 2019-2022, a Women in Law dodaje tło Legal 500, compliance i Global Leadership Team [PE-050, PE-054, PE-075, PE-083, PE-094-PE-096].</w:t>
      </w:r>
    </w:p>
    <w:p>
      <w:pPr>
        <w:pStyle w:val="Heading2"/>
      </w:pPr>
      <w:r>
        <w:t>5.6. Kultura organizacyjna</w:t>
      </w:r>
    </w:p>
    <w:p>
      <w:r>
        <w:t>Kultura organizacyjna jest bogata narracyjnie, ale nie mocna pomiarowo. Nagrody, CSR, debata EFB, benefity, oferty pracy i Kaizen sugerują tematy pracodawcy, rozwoju i bezpieczeństwa. Nadal potrzebne są rotacja, absencja, ankiety, skargi, liczba sugestii Kaizen i budżety szkoleniowe [PE-076-PE-078, PE-082, PE-091, PE-097, PE-110].</w:t>
      </w:r>
    </w:p>
    <w:p>
      <w:pPr>
        <w:pStyle w:val="Heading2"/>
      </w:pPr>
      <w:r>
        <w:t>5.7. Wyniki ekonomiczno-finansowe</w:t>
      </w:r>
    </w:p>
    <w:p>
      <w:r>
        <w:t>Finanse są liczbowo obszerne, ale kruche metodologicznie, bo dominują agregatory. Obraz jest mieszany: szybki wzrost sprzedaży w 2021 r. współistnieje ze stratami w 2023-2024. Bez RDF nie można wyjaśnić, czy problem dotyczył wolumenu, cen, kosztów, kursów, jednorazowych zdarzeń, płynności, kredytów, leasingu czy cen transferowych [PE-006-PE-026, PE-047, PE-072, PE-081, PE-086].</w:t>
      </w:r>
    </w:p>
    <w:p>
      <w:pPr>
        <w:pStyle w:val="Heading1"/>
      </w:pPr>
      <w:r>
        <w:t>6. Analiza narracji i zgodności z dowodami</w:t>
      </w:r>
    </w:p>
    <w:p>
      <w:r>
        <w:t>Narracja operacyjna jest częściowo spójna z dostępnymi dowodami: inwestycje, produkcja własna, B+R, magazyn, ekspansja, jakość i dywersyfikacja są opisane przez źródła branżowe oraz aktualne strony firmowe [PE-057, PE-058, PE-061, PE-068, PE-069, PE-073, PE-088, PE-093, PE-099, PE-104]. Spójność słabnie przy finansach, ponieważ pozytywna narracja wzrostu i jakości współistnieje ze stratami 2023-2024 oraz nierozstrzygniętymi rozbieżnościami agregatorów [PE-072, PE-081].</w:t>
      </w:r>
    </w:p>
    <w:p>
      <w:r>
        <w:t>Narracja kulturowa jest opisem deklaracji, nagród i tematów HR, ale brak reprezentatywnych danych pracowniczych uniemożliwia ocenę kultury jako cechy organizacji [PE-076-PE-078, PE-082, PE-091, PE-097, PE-110].</w:t>
      </w:r>
    </w:p>
    <w:p>
      <w:pPr>
        <w:pStyle w:val="Heading1"/>
      </w:pPr>
      <w:r>
        <w:t>7. Wstępne wzorce i hipotezy robocze</w:t>
      </w:r>
    </w:p>
    <w:p>
      <w:pPr>
        <w:pStyle w:val="ListBullet"/>
      </w:pPr>
      <w:r>
        <w:t>Hipoteza: firma budowała odporność przez pionizację części produkcji i lokalizację dostaw. Alternatywa: była to narracja ex post, a główne ograniczenia dotyczyły kosztów lub cen. Dane rozstrzygające: lista komponentów in-house, wskaźniki dostaw i koszty zakupów [PE-058, PE-065].</w:t>
      </w:r>
    </w:p>
    <w:p>
      <w:pPr>
        <w:pStyle w:val="ListBullet"/>
      </w:pPr>
      <w:r>
        <w:t>Hipoteza: P2 było okresem skalowania operacyjnego, a P3 komercyjnego ukierunkowania na OE/OEM i wybrane regiony. Alternatywa: wzrost wynikał głównie z popytu/cen lub decyzji grupy. Dane rozstrzygające: CAPEX, wolumeny, wykorzystanie mocy, projekty OEM i marże według kanałów [PE-053, PE-057, PE-072, PE-088, PE-098, PE-100].</w:t>
      </w:r>
    </w:p>
    <w:p>
      <w:pPr>
        <w:pStyle w:val="ListBullet"/>
      </w:pPr>
      <w:r>
        <w:t>Hipoteza: cyfryzacja wspierała zarządzanie sprzedażą i fabryką, ale jej zakres był selektywny. Alternatywa: publiczne źródła pokazują tylko hasła i regulaminy. Dane rozstrzygające: mapa ERP, WMS, MES, BI, CAD/CAM, Comarch XL i daty wdrożeń [PE-060, PE-063, PE-074, PE-087, PE-106-PE-109, PE-111].</w:t>
      </w:r>
    </w:p>
    <w:p>
      <w:pPr>
        <w:pStyle w:val="ListBullet"/>
      </w:pPr>
      <w:r>
        <w:t>Hipoteza: umiędzynarodowienie miało charakter platformy europejskiej w grupie. Alternatywa: eksport był zależny od decyzji grupy i kilku klientów. Dane rozstrzygające: sprzedaż według regionów, kanałów, klientów i cen transferowych [PE-049, PE-059, PE-061, PE-067, PE-088, PE-089].</w:t>
      </w:r>
    </w:p>
    <w:p>
      <w:pPr>
        <w:pStyle w:val="ListBullet"/>
      </w:pPr>
      <w:r>
        <w:t>Hipoteza: pozytywna narracja employer branding nie wystarcza do oceny kultury. Alternatywa: nagrody, Kaizen i benefity odzwierciedlały realne praktyki, ale nie zostały publicznie udokumentowane. Dane rozstrzygające: rotacja, absencja, ankiety, sugestie Kaizen, szkolenia i wynagrodzenia [PE-076, PE-077, PE-082, PE-091, PE-097, PE-110].</w:t>
      </w:r>
    </w:p>
    <w:p>
      <w:pPr>
        <w:pStyle w:val="Heading1"/>
      </w:pPr>
      <w:r>
        <w:t>8. Sprzeczności i alternatywne interpretacje</w:t>
      </w:r>
    </w:p>
    <w:p>
      <w:pPr>
        <w:pStyle w:val="ListBullet"/>
      </w:pPr>
      <w:r>
        <w:t>Role Julity Mazurkiewicz są opisane różnymi językami formalnymi i operacyjnymi; potrzebna jest oś czasu KRS plus mapa odpowiedzialności biznesowej [PE-050, PE-054, PE-083, PE-094, PE-096].</w:t>
      </w:r>
    </w:p>
    <w:p>
      <w:pPr>
        <w:pStyle w:val="ListBullet"/>
      </w:pPr>
      <w:r>
        <w:t>Dane finansowe 2024 różnią się między BizRaport i AnalizaFirm; rozstrzyga sprawozdanie z RDF, nie agregator [PE-023-PE-026, PE-081].</w:t>
      </w:r>
    </w:p>
    <w:p>
      <w:pPr>
        <w:pStyle w:val="ListBullet"/>
      </w:pPr>
      <w:r>
        <w:t>Nagrody i narracje CSR nie są sprzeczne z portalami pracy, ale źródła mierzą różne zjawiska i mają nierówną wiarygodność [PE-076, PE-077, PE-082].</w:t>
      </w:r>
    </w:p>
    <w:p>
      <w:pPr>
        <w:pStyle w:val="Heading1"/>
      </w:pPr>
      <w:r>
        <w:t>9. Luki badawcze</w:t>
      </w:r>
    </w:p>
    <w:p>
      <w:pPr>
        <w:pStyle w:val="ListBullet"/>
      </w:pPr>
      <w:r>
        <w:t>Pełne dokumenty RDF i noty finansowe 2019-2024: przychody, koszty, marże, zobowiązania, leasing, kredyty, kowenanty, zdarzenia po dniu bilansowym, opinia biegłego i działania naprawcze [PE-047, PE-081, PE-086].</w:t>
      </w:r>
    </w:p>
    <w:p>
      <w:pPr>
        <w:pStyle w:val="ListBullet"/>
      </w:pPr>
      <w:r>
        <w:t>Mapa systemów cyfrowych: ERP, WMS, MES, BI, CAD/CAM, Comarch XL, e-commerce, automatyzacja, Facility IT i daty wdrożeń [PE-060, PE-063, PE-074, PE-087, PE-106-PE-109, PE-111].</w:t>
      </w:r>
    </w:p>
    <w:p>
      <w:pPr>
        <w:pStyle w:val="ListBullet"/>
      </w:pPr>
      <w:r>
        <w:t>Dane kadrowe: rotacja, absencja, płace, szkolenia, BHP, ankiety, skargi, sugestie Kaizen i wykorzystanie benefitów [PE-076, PE-078, PE-082, PE-091, PE-097, PE-110].</w:t>
      </w:r>
    </w:p>
    <w:p>
      <w:pPr>
        <w:pStyle w:val="ListBullet"/>
      </w:pPr>
      <w:r>
        <w:t>Struktura sprzedaży: regiony, kanały OE/OEM i aftermarket, Daimler i inni klienci, DACH, udział eksportu, ceny transferowe i udział grupy w alokacji zamówień [PE-061, PE-067, PE-088, PE-089, PE-098].</w:t>
      </w:r>
    </w:p>
    <w:p>
      <w:pPr>
        <w:pStyle w:val="ListBullet"/>
      </w:pPr>
      <w:r>
        <w:t>Dokumentacja własności intelektualnej i B+R: patenty QS6/QS6+, właściciel IP, budżet i autonomia lokalnego działu B+R [PE-056, PE-068, PE-085].</w:t>
      </w:r>
    </w:p>
    <w:p>
      <w:pPr>
        <w:pStyle w:val="Heading1"/>
      </w:pPr>
      <w:r>
        <w:t>10. Pytania do wywiadów</w:t>
      </w:r>
    </w:p>
    <w:p>
      <w:pPr>
        <w:pStyle w:val="ListBullet"/>
      </w:pPr>
      <w:r>
        <w:t>Jakie decyzje operacyjne pozwoliły utrzymać wzrost podczas pandemii i które z nich miały trwały wpływ na model działania? Obszar: kryzys/zdolności dynamiczne; okres: P2; ID: PE-055, PE-058, PE-065.</w:t>
      </w:r>
    </w:p>
    <w:p>
      <w:pPr>
        <w:pStyle w:val="ListBullet"/>
      </w:pPr>
      <w:r>
        <w:t>Które procesy przeniesiono do produkcji własnej, jakie KPI się zmieniły i czy ograniczyło to ryzyko dostaw? Obszar: zdolności dynamiczne; okres: P2-P3; ID: PE-057, PE-058, PE-066.</w:t>
      </w:r>
    </w:p>
    <w:p>
      <w:pPr>
        <w:pStyle w:val="ListBullet"/>
      </w:pPr>
      <w:r>
        <w:t>Jaka była mapa ERP, WMS, MES, BI, CAD/CAM, Comarch XL, Facility IT, e-commerce i Platformy B2B w latach 2019-2024? Obszar: cyfryzacja; okres: P1-P3; ID: PE-060, PE-063, PE-074, PE-087, PE-106-PE-109, PE-111.</w:t>
      </w:r>
    </w:p>
    <w:p>
      <w:pPr>
        <w:pStyle w:val="ListBullet"/>
      </w:pPr>
      <w:r>
        <w:t>Jaką część sprzedaży stanowiły rynki zagraniczne, kanały OE/OEM i aftermarket, Daimler, DACH oraz rynek krajowy w latach 2021-2024? Obszar: umiędzynarodowienie; okres: P2-P3; ID: PE-059, PE-061, PE-067, PE-088, PE-089, PE-098.</w:t>
      </w:r>
    </w:p>
    <w:p>
      <w:pPr>
        <w:pStyle w:val="ListBullet"/>
      </w:pPr>
      <w:r>
        <w:t>Jak wyjaśnić straty 2023-2024 przy jednoczesnej narracji wzrostu, jakości i inwestycji? Obszar: finanse; okres: P3; ID: PE-018-PE-026, PE-081, PE-086.</w:t>
      </w:r>
    </w:p>
    <w:p>
      <w:pPr>
        <w:pStyle w:val="ListBullet"/>
      </w:pPr>
      <w:r>
        <w:t>Jaka była dokładna sekwencja formalnych i operacyjnych ról Julity Mazurkiewicz i Roberta Petera Joya? Obszar: przywództwo; okres: P1-P3; ID: PE-050, PE-054, PE-083, PE-094-PE-096.</w:t>
      </w:r>
    </w:p>
    <w:p>
      <w:pPr>
        <w:pStyle w:val="ListBullet"/>
      </w:pPr>
      <w:r>
        <w:t>Jakie dane kadrowe potwierdzają albo problematyzują narrację o dobrym pracodawcy, Kaizen i kulturze organizacyjnej? Obszar: kultura; okres: P2-P3; ID: PE-076-PE-078, PE-082, PE-091, PE-097, PE-110.</w:t>
      </w:r>
    </w:p>
    <w:p>
      <w:pPr>
        <w:pStyle w:val="Heading1"/>
      </w:pPr>
      <w:r>
        <w:t>11. Macierz podsumowująca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vAlign w:val="top"/>
            <w:shd w:fill="E8EEF5"/>
          </w:tcPr>
          <w:p>
            <w:r>
              <w:t>Obszar</w:t>
            </w:r>
          </w:p>
        </w:tc>
        <w:tc>
          <w:tcPr>
            <w:tcW w:type="dxa" w:w="1890"/>
            <w:vAlign w:val="top"/>
            <w:shd w:fill="E8EEF5"/>
          </w:tcPr>
          <w:p>
            <w:r>
              <w:t>Kontekst wyjściowy</w:t>
            </w:r>
          </w:p>
        </w:tc>
        <w:tc>
          <w:tcPr>
            <w:tcW w:type="dxa" w:w="1890"/>
            <w:vAlign w:val="top"/>
            <w:shd w:fill="E8EEF5"/>
          </w:tcPr>
          <w:p>
            <w:r>
              <w:t>P1 2019-2020</w:t>
            </w:r>
          </w:p>
        </w:tc>
        <w:tc>
          <w:tcPr>
            <w:tcW w:type="dxa" w:w="1890"/>
            <w:vAlign w:val="top"/>
            <w:shd w:fill="E8EEF5"/>
          </w:tcPr>
          <w:p>
            <w:r>
              <w:t>P2 2020-2022</w:t>
            </w:r>
          </w:p>
        </w:tc>
        <w:tc>
          <w:tcPr>
            <w:tcW w:type="dxa" w:w="1890"/>
            <w:vAlign w:val="top"/>
            <w:shd w:fill="E8EEF5"/>
          </w:tcPr>
          <w:p>
            <w:r>
              <w:t>P3 2022-2024</w:t>
            </w:r>
          </w:p>
        </w:tc>
      </w:tr>
      <w:tr>
        <w:tc>
          <w:tcPr>
            <w:tcW w:type="dxa" w:w="1800"/>
            <w:vAlign w:val="top"/>
          </w:tcPr>
          <w:p>
            <w:r>
              <w:t>Zdolności dynamiczne</w:t>
            </w:r>
          </w:p>
        </w:tc>
        <w:tc>
          <w:tcPr>
            <w:tcW w:type="dxa" w:w="1890"/>
            <w:vAlign w:val="top"/>
          </w:tcPr>
          <w:p>
            <w:r>
              <w:t>Europejska platforma Phillips po przejęciu [PE-002, PE-049, PE-092, PE-105].</w:t>
            </w:r>
          </w:p>
        </w:tc>
        <w:tc>
          <w:tcPr>
            <w:tcW w:type="dxa" w:w="1890"/>
            <w:vAlign w:val="top"/>
          </w:tcPr>
          <w:p>
            <w:r>
              <w:t>Mało danych operacyjnych.</w:t>
            </w:r>
          </w:p>
        </w:tc>
        <w:tc>
          <w:tcPr>
            <w:tcW w:type="dxa" w:w="1890"/>
            <w:vAlign w:val="top"/>
          </w:tcPr>
          <w:p>
            <w:r>
              <w:t>Inwestycje, produkcja własna, reakcja na pandemię i wzrost 2021 [PE-055, PE-057, PE-058, PE-072, PE-098].</w:t>
            </w:r>
          </w:p>
        </w:tc>
        <w:tc>
          <w:tcPr>
            <w:tcW w:type="dxa" w:w="1890"/>
            <w:vAlign w:val="top"/>
          </w:tcPr>
          <w:p>
            <w:r>
              <w:t>B+R, magazyn, jakość, wtryskownia i dywersyfikacja; część narracyjna [PE-066, PE-068-PE-070, PE-093, PE-099, PE-104].</w:t>
            </w:r>
          </w:p>
        </w:tc>
      </w:tr>
      <w:tr>
        <w:tc>
          <w:tcPr>
            <w:tcW w:type="dxa" w:w="1800"/>
            <w:vAlign w:val="top"/>
          </w:tcPr>
          <w:p>
            <w:r>
              <w:t>Cyfryzacja</w:t>
            </w:r>
          </w:p>
        </w:tc>
        <w:tc>
          <w:tcPr>
            <w:tcW w:type="dxa" w:w="1890"/>
            <w:vAlign w:val="top"/>
          </w:tcPr>
          <w:p>
            <w:r>
              <w:t>Brak wystarczających danych.</w:t>
            </w:r>
          </w:p>
        </w:tc>
        <w:tc>
          <w:tcPr>
            <w:tcW w:type="dxa" w:w="1890"/>
            <w:vAlign w:val="top"/>
          </w:tcPr>
          <w:p>
            <w:r>
              <w:t>Brak wystarczających danych.</w:t>
            </w:r>
          </w:p>
        </w:tc>
        <w:tc>
          <w:tcPr>
            <w:tcW w:type="dxa" w:w="1890"/>
            <w:vAlign w:val="top"/>
          </w:tcPr>
          <w:p>
            <w:r>
              <w:t>Enterprise Resource Planning i e-commerce bez pełnej osi wdrożeń [PE-060, PE-063].</w:t>
            </w:r>
          </w:p>
        </w:tc>
        <w:tc>
          <w:tcPr>
            <w:tcW w:type="dxa" w:w="1890"/>
            <w:vAlign w:val="top"/>
          </w:tcPr>
          <w:p>
            <w:r>
              <w:t>Platforma B2B 2023 oraz późniejsze CAD/CAM, Comarch XL, OEE, MRP, Lean, JIT, Facility IT [PE-106-PE-109, PE-111, PE-112].</w:t>
            </w:r>
          </w:p>
        </w:tc>
      </w:tr>
      <w:tr>
        <w:tc>
          <w:tcPr>
            <w:tcW w:type="dxa" w:w="1800"/>
            <w:vAlign w:val="top"/>
          </w:tcPr>
          <w:p>
            <w:r>
              <w:t>Umiędzynarodowienie</w:t>
            </w:r>
          </w:p>
        </w:tc>
        <w:tc>
          <w:tcPr>
            <w:tcW w:type="dxa" w:w="1890"/>
            <w:vAlign w:val="top"/>
          </w:tcPr>
          <w:p>
            <w:r>
              <w:t>Własność USA i funkcja 24V na wiele regionów [PE-002, PE-049, PE-105].</w:t>
            </w:r>
          </w:p>
        </w:tc>
        <w:tc>
          <w:tcPr>
            <w:tcW w:type="dxa" w:w="1890"/>
            <w:vAlign w:val="top"/>
          </w:tcPr>
          <w:p>
            <w:r>
              <w:t>Wzrost widoczny finansowo, struktura eksportu słaba.</w:t>
            </w:r>
          </w:p>
        </w:tc>
        <w:tc>
          <w:tcPr>
            <w:tcW w:type="dxa" w:w="1890"/>
            <w:vAlign w:val="top"/>
          </w:tcPr>
          <w:p>
            <w:r>
              <w:t>Kierunek Europa, Bliski Wschód i Afryka [PE-059].</w:t>
            </w:r>
          </w:p>
        </w:tc>
        <w:tc>
          <w:tcPr>
            <w:tcW w:type="dxa" w:w="1890"/>
            <w:vAlign w:val="top"/>
          </w:tcPr>
          <w:p>
            <w:r>
              <w:t>Ok. 60% eksportu, 30 rynków, Daimler, DACH i późniejsze OE [PE-061, PE-067, PE-088, PE-089, PE-098, PE-100].</w:t>
            </w:r>
          </w:p>
        </w:tc>
      </w:tr>
      <w:tr>
        <w:tc>
          <w:tcPr>
            <w:tcW w:type="dxa" w:w="1800"/>
            <w:vAlign w:val="top"/>
          </w:tcPr>
          <w:p>
            <w:r>
              <w:t>Kryzysy</w:t>
            </w:r>
          </w:p>
        </w:tc>
        <w:tc>
          <w:tcPr>
            <w:tcW w:type="dxa" w:w="1890"/>
            <w:vAlign w:val="top"/>
          </w:tcPr>
          <w:p>
            <w:r>
              <w:t>Brak wystarczających danych.</w:t>
            </w:r>
          </w:p>
        </w:tc>
        <w:tc>
          <w:tcPr>
            <w:tcW w:type="dxa" w:w="1890"/>
            <w:vAlign w:val="top"/>
          </w:tcPr>
          <w:p>
            <w:r>
              <w:t>Brak bieżącego opisu reakcji COVID-19.</w:t>
            </w:r>
          </w:p>
        </w:tc>
        <w:tc>
          <w:tcPr>
            <w:tcW w:type="dxa" w:w="1890"/>
            <w:vAlign w:val="top"/>
          </w:tcPr>
          <w:p>
            <w:r>
              <w:t>Narracje o szybkiej reakcji, lokalnych dostawcach i zerwanych łańcuchach dostaw [PE-055, PE-058, PE-065, PE-096].</w:t>
            </w:r>
          </w:p>
        </w:tc>
        <w:tc>
          <w:tcPr>
            <w:tcW w:type="dxa" w:w="1890"/>
            <w:vAlign w:val="top"/>
          </w:tcPr>
          <w:p>
            <w:r>
              <w:t>Brak twardych danych o kosztach, przestojach i absencji [PE-086].</w:t>
            </w:r>
          </w:p>
        </w:tc>
      </w:tr>
      <w:tr>
        <w:tc>
          <w:tcPr>
            <w:tcW w:type="dxa" w:w="1800"/>
            <w:vAlign w:val="top"/>
          </w:tcPr>
          <w:p>
            <w:r>
              <w:t>Przywództwo</w:t>
            </w:r>
          </w:p>
        </w:tc>
        <w:tc>
          <w:tcPr>
            <w:tcW w:type="dxa" w:w="1890"/>
            <w:vAlign w:val="top"/>
          </w:tcPr>
          <w:p>
            <w:r>
              <w:t>Ciągłość kierownictwa wymaga weryfikacji; profil compliance [PE-003, PE-094, PE-095].</w:t>
            </w:r>
          </w:p>
        </w:tc>
        <w:tc>
          <w:tcPr>
            <w:tcW w:type="dxa" w:w="1890"/>
            <w:vAlign w:val="top"/>
          </w:tcPr>
          <w:p>
            <w:r>
              <w:t>Awans Julity Mazurkiewicz do Management Board [PE-083].</w:t>
            </w:r>
          </w:p>
        </w:tc>
        <w:tc>
          <w:tcPr>
            <w:tcW w:type="dxa" w:w="1890"/>
            <w:vAlign w:val="top"/>
          </w:tcPr>
          <w:p>
            <w:r>
              <w:t>Różne nazwy ról formalnych i operacyjnych [PE-050, PE-054, PE-083].</w:t>
            </w:r>
          </w:p>
        </w:tc>
        <w:tc>
          <w:tcPr>
            <w:tcW w:type="dxa" w:w="1890"/>
            <w:vAlign w:val="top"/>
          </w:tcPr>
          <w:p>
            <w:r>
              <w:t>Forbes wzmacnia oś kariery 2019-2022; później trop sprzedażowy [PE-096, PE-103].</w:t>
            </w:r>
          </w:p>
        </w:tc>
      </w:tr>
      <w:tr>
        <w:tc>
          <w:tcPr>
            <w:tcW w:type="dxa" w:w="1800"/>
            <w:vAlign w:val="top"/>
          </w:tcPr>
          <w:p>
            <w:r>
              <w:t>Kultura</w:t>
            </w:r>
          </w:p>
        </w:tc>
        <w:tc>
          <w:tcPr>
            <w:tcW w:type="dxa" w:w="1890"/>
            <w:vAlign w:val="top"/>
          </w:tcPr>
          <w:p>
            <w:r>
              <w:t>Brak wystarczających danych.</w:t>
            </w:r>
          </w:p>
        </w:tc>
        <w:tc>
          <w:tcPr>
            <w:tcW w:type="dxa" w:w="1890"/>
            <w:vAlign w:val="top"/>
          </w:tcPr>
          <w:p>
            <w:r>
              <w:t>Brak reprezentatywnych danych kadrowych.</w:t>
            </w:r>
          </w:p>
        </w:tc>
        <w:tc>
          <w:tcPr>
            <w:tcW w:type="dxa" w:w="1890"/>
            <w:vAlign w:val="top"/>
          </w:tcPr>
          <w:p>
            <w:r>
              <w:t>Good Employer, CSR i debata EFB jako tropy, nie pomiar kultury [PE-076-PE-078, PE-091, PE-097].</w:t>
            </w:r>
          </w:p>
        </w:tc>
        <w:tc>
          <w:tcPr>
            <w:tcW w:type="dxa" w:w="1890"/>
            <w:vAlign w:val="top"/>
          </w:tcPr>
          <w:p>
            <w:r>
              <w:t>Późniejsze oferty: benefity, Lean i Kaizen; brak danych pracowniczych [PE-082, PE-110].</w:t>
            </w:r>
          </w:p>
        </w:tc>
      </w:tr>
      <w:tr>
        <w:tc>
          <w:tcPr>
            <w:tcW w:type="dxa" w:w="1800"/>
            <w:vAlign w:val="top"/>
          </w:tcPr>
          <w:p>
            <w:r>
              <w:t>Finanse</w:t>
            </w:r>
          </w:p>
        </w:tc>
        <w:tc>
          <w:tcPr>
            <w:tcW w:type="dxa" w:w="1890"/>
            <w:vAlign w:val="top"/>
          </w:tcPr>
          <w:p>
            <w:r>
              <w:t>Kontekst wejściowy słabo udokumentowany.</w:t>
            </w:r>
          </w:p>
        </w:tc>
        <w:tc>
          <w:tcPr>
            <w:tcW w:type="dxa" w:w="1890"/>
            <w:vAlign w:val="top"/>
          </w:tcPr>
          <w:p>
            <w:r>
              <w:t>Agregatory pokazują wzrost; potrzebne RDF KRS [PE-006-PE-010].</w:t>
            </w:r>
          </w:p>
        </w:tc>
        <w:tc>
          <w:tcPr>
            <w:tcW w:type="dxa" w:w="1890"/>
            <w:vAlign w:val="top"/>
          </w:tcPr>
          <w:p>
            <w:r>
              <w:t>Wzrost 2021 i późniejsza presja wynikowa [PE-011-PE-017, PE-072].</w:t>
            </w:r>
          </w:p>
        </w:tc>
        <w:tc>
          <w:tcPr>
            <w:tcW w:type="dxa" w:w="1890"/>
            <w:vAlign w:val="top"/>
          </w:tcPr>
          <w:p>
            <w:r>
              <w:t>Straty 2023-2024 i rozbieżności agregatorów wymagają RDF [PE-018-PE-026, PE-081, PE-086].</w:t>
            </w:r>
          </w:p>
        </w:tc>
      </w:tr>
    </w:tbl>
    <w:p>
      <w:pPr>
        <w:pStyle w:val="Heading1"/>
      </w:pPr>
      <w:r>
        <w:t>12. Podsumowanie</w:t>
      </w:r>
    </w:p>
    <w:p>
      <w:r>
        <w:t>Stosunkowo dobrze udokumentowane są: identyfikacja podmiotu, kontekst właścicielski, narracje o skalowaniu produkcji, inwestycjach, B+R, lokalizacji dostaw, geograficznym zasięgu sprzedaży oraz częściowo klientach/kanałach [PE-046, PE-049, PE-057, PE-061, PE-068, PE-088, PE-098]. Największe niepewności dotyczą finansów formalnych, mapy cyfryzacji w latach 2019-2024, danych kadrowych, struktury eksportu i roli grupy w wynikach badanego KRS [PE-047, PE-081, PE-087, PE-106-PE-109, PE-111, PE-112].</w:t>
      </w:r>
    </w:p>
    <w:p>
      <w:r>
        <w:t>Z materiału zewnętrznego nie wolno wnioskować o przyczynach strat, jakości kultury organizacyjnej ani pełnej efektywności cyfryzacji. Baza powinna służyć jako mapa pytań do wywiadów i lista dokumentów do pozyskania, zwłaszcza RDF, danych kadrowych, danych sprzedażowych i dokumentacji systemów operacyjnych.</w:t>
      </w:r>
    </w:p>
    <w:p>
      <w:pPr>
        <w:pStyle w:val="Heading1"/>
      </w:pPr>
      <w:r>
        <w:t>Ścieżka audytowa</w:t>
      </w:r>
    </w:p>
    <w:p>
      <w:r>
        <w:t>Wykorzystane ID: PE-001-PE-112. Wykluczone kategorie wyjątków badacza: odrzuć=0, popraw=0, zweryfikuj=0. Wiersze niezweryfikowane, sprzeczne i braki danych zostały użyte wyłącznie jako ostrzeżenia, luki lub hipotezy robocze. Rejestr źródeł zawiera 42 pozycji i pozostaje pełnym źródłem audytu adresów URL.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