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 w:after="8"/>
        <w:rPr/>
      </w:pPr>
      <w:sdt>
        <w:sdtPr>
          <w:id w:val="2143259638"/>
        </w:sdtPr>
        <w:sdtContent>
          <w:r>
            <w:rPr>
              <w:rStyle w:val="SourceText"/>
            </w:rPr>
          </w:r>
          <w:r>
            <w:rPr>
              <w:rStyle w:val="SourceText"/>
            </w:rPr>
            <w:t>numero de processo 3791</w:t>
            <w:br/>
          </w:r>
        </w:sdtContent>
      </w:sdt>
      <w:r>
        <w:rPr/>
      </w:r>
    </w:p>
    <w:p>
      <w:pPr>
        <w:pStyle w:val="Normal"/>
        <w:spacing w:before="12" w:after="8"/>
        <w:jc w:val="center"/>
        <w:rPr/>
      </w:pPr>
      <w:r>
        <w:rPr>
          <w:rFonts w:eastAsia="Arial" w:cs="Arial"/>
          <w:b/>
          <w:bCs/>
          <w:sz w:val="26"/>
          <w:szCs w:val="26"/>
        </w:rPr>
        <w:t>FACTOS PROVADOS E DOCUMENTALMENTE SUSTENTADOS</w:t>
      </w:r>
    </w:p>
    <w:p>
      <w:pPr>
        <w:pStyle w:val="Normal"/>
        <w:spacing w:before="8" w:after="12"/>
        <w:jc w:val="center"/>
        <w:rPr/>
      </w:pPr>
      <w:r>
        <w:rPr>
          <w:rFonts w:eastAsia="Arial" w:cs="Arial"/>
          <w:b w:val="false"/>
          <w:bCs w:val="false"/>
          <w:sz w:val="22"/>
          <w:szCs w:val="22"/>
        </w:rPr>
        <w:t>Proc. n.º 3719/25.0T8LSB — Tribunal da Relação de Lisboa</w:t>
      </w:r>
    </w:p>
    <w:p>
      <w:pPr>
        <w:pStyle w:val="Normal"/>
        <w:spacing w:before="8" w:after="12"/>
        <w:jc w:val="center"/>
        <w:rPr/>
      </w:pPr>
      <w:r>
        <w:rPr>
          <w:rFonts w:eastAsia="Arial" w:cs="Arial"/>
          <w:b w:val="false"/>
          <w:bCs w:val="false"/>
          <w:sz w:val="22"/>
          <w:szCs w:val="22"/>
        </w:rPr>
        <w:t>Contra-Alegações ao Recurso de Providência Cautelar</w:t>
      </w:r>
    </w:p>
    <w:p>
      <w:pPr>
        <w:pStyle w:val="Normal"/>
        <w:spacing w:before="4" w:after="16"/>
        <w:jc w:val="both"/>
        <w:rPr/>
      </w:pPr>
      <w:r>
        <w:rPr>
          <w:rFonts w:eastAsia="Arial" w:cs="Arial"/>
          <w:i/>
          <w:iCs/>
          <w:color w:val="444444"/>
          <w:sz w:val="18"/>
          <w:szCs w:val="18"/>
        </w:rPr>
        <w:t>Todos os acontecimentos mencionados ocorreram no ano de 2025, salvo a audiência de 21 de janeiro de 2026 expressamente identificada. Os factos estão formulados em linguagem declarativa, organizados por blocos temáticos, e cada um é suportado por prova documental disponível ou requerível.</w:t>
      </w:r>
    </w:p>
    <w:p>
      <w:pPr>
        <w:pStyle w:val="Normal"/>
        <w:spacing w:before="8" w:after="8"/>
        <w:rPr/>
      </w:pPr>
      <w:r>
        <w:rPr/>
      </w:r>
    </w:p>
    <w:p>
      <w:pPr>
        <w:pStyle w:val="Normal"/>
        <w:pBdr>
          <w:bottom w:val="single" w:sz="6" w:space="2" w:color="1F3864"/>
        </w:pBdr>
        <w:spacing w:before="28" w:after="8"/>
        <w:jc w:val="start"/>
        <w:rPr/>
      </w:pPr>
      <w:r>
        <w:rPr>
          <w:rFonts w:eastAsia="Arial" w:cs="Arial"/>
          <w:b/>
          <w:bCs/>
          <w:caps/>
          <w:color w:val="1F3864"/>
          <w:sz w:val="22"/>
          <w:szCs w:val="22"/>
        </w:rPr>
        <w:t>Secção A — Citação e Notificação Irregular</w:t>
      </w:r>
    </w:p>
    <w:p>
      <w:pPr>
        <w:pStyle w:val="Normal"/>
        <w:spacing w:lineRule="auto" w:line="276" w:before="8" w:after="8"/>
        <w:ind w:start="0"/>
        <w:jc w:val="both"/>
        <w:rPr/>
      </w:pPr>
      <w:r>
        <w:rPr>
          <w:rFonts w:eastAsia="Arial" w:cs="Arial"/>
          <w:b/>
          <w:bCs/>
          <w:sz w:val="22"/>
          <w:szCs w:val="22"/>
        </w:rPr>
        <w:t xml:space="preserve">§1. </w:t>
      </w:r>
      <w:r>
        <w:rPr>
          <w:rFonts w:eastAsia="Arial" w:cs="Arial"/>
          <w:b w:val="false"/>
          <w:bCs w:val="false"/>
          <w:sz w:val="22"/>
          <w:szCs w:val="22"/>
        </w:rPr>
        <w:t>O Recorrido não foi citado nem notificado nos termos legalmente exigidos para o processo que correu termos no Tribunal de 1.ª instância.</w:t>
      </w:r>
    </w:p>
    <w:p>
      <w:pPr>
        <w:pStyle w:val="Normal"/>
        <w:spacing w:lineRule="auto" w:line="276" w:before="8" w:after="8"/>
        <w:ind w:start="0"/>
        <w:jc w:val="both"/>
        <w:rPr/>
      </w:pPr>
      <w:r>
        <w:rPr>
          <w:rFonts w:eastAsia="Arial" w:cs="Arial"/>
          <w:b/>
          <w:bCs/>
          <w:sz w:val="22"/>
          <w:szCs w:val="22"/>
        </w:rPr>
        <w:t xml:space="preserve">§2. </w:t>
      </w:r>
      <w:r>
        <w:rPr>
          <w:rFonts w:eastAsia="Arial" w:cs="Arial"/>
          <w:b w:val="false"/>
          <w:bCs w:val="false"/>
          <w:sz w:val="22"/>
          <w:szCs w:val="22"/>
        </w:rPr>
        <w:t>O agente que procedeu à diligência de citação identificou-se como pertencente à empresa de courier privado DHL. Em momento algum se identificou como oficial de justiça ou como agente de execução devidamente credenciado, nos termos dos artigos 225.º e seguintes do Código de Processo Civil.</w:t>
      </w:r>
    </w:p>
    <w:p>
      <w:pPr>
        <w:pStyle w:val="Normal"/>
        <w:spacing w:lineRule="auto" w:line="276" w:before="8" w:after="8"/>
        <w:ind w:start="0"/>
        <w:jc w:val="both"/>
        <w:rPr/>
      </w:pPr>
      <w:sdt>
        <w:sdtPr>
          <w:id w:val="153510762"/>
          <w:showingPlcHdr/>
          <w:date>
            <w:dateFormat w:val="MM/DD/YY"/>
            <w:lid w:val="en-US"/>
          </w:date>
        </w:sdtPr>
        <w:sdtContent>
          <w:r>
            <w:rPr>
              <w:rFonts w:eastAsia="Arial" w:cs="Arial"/>
              <w:b/>
              <w:bCs/>
              <w:sz w:val="22"/>
              <w:szCs w:val="22"/>
            </w:rPr>
          </w:r>
          <w:r>
            <w:rPr>
              <w:rFonts w:eastAsia="Arial" w:cs="Arial"/>
              <w:b/>
              <w:bCs/>
              <w:sz w:val="22"/>
              <w:szCs w:val="22"/>
            </w:rPr>
            <w:t>§3.</w:t>
          </w:r>
        </w:sdtContent>
      </w:sdt>
      <w:r>
        <w:rPr>
          <w:rFonts w:eastAsia="Arial" w:cs="Arial"/>
          <w:b/>
          <w:bCs/>
          <w:sz w:val="22"/>
          <w:szCs w:val="22"/>
        </w:rPr>
        <w:t xml:space="preserve"> </w:t>
      </w:r>
      <w:r>
        <w:rPr>
          <w:rFonts w:eastAsia="Arial" w:cs="Arial"/>
          <w:b w:val="false"/>
          <w:bCs w:val="false"/>
          <w:sz w:val="22"/>
          <w:szCs w:val="22"/>
        </w:rPr>
        <w:t>Em consequência direta da citação irregular descrita nos Factos 1 e 2, o Recorrido desconhecia a natureza, o objeto e os termos do processo, tendo ficado privado da possibilidade de organizar atempadamente a sua defesa.</w:t>
      </w:r>
    </w:p>
    <w:p>
      <w:pPr>
        <w:pStyle w:val="Normal"/>
        <w:pBdr>
          <w:bottom w:val="single" w:sz="6" w:space="2" w:color="1F3864"/>
        </w:pBdr>
        <w:spacing w:before="28" w:after="8"/>
        <w:jc w:val="start"/>
        <w:rPr/>
      </w:pPr>
      <w:r>
        <w:rPr>
          <w:rFonts w:eastAsia="Arial" w:cs="Arial"/>
          <w:b/>
          <w:bCs/>
          <w:caps/>
          <w:color w:val="1F3864"/>
          <w:sz w:val="22"/>
          <w:szCs w:val="22"/>
        </w:rPr>
        <w:t>Secção B — Constituição do Mandato e Abandono pelo Mandatário</w:t>
      </w:r>
    </w:p>
    <w:p>
      <w:pPr>
        <w:pStyle w:val="Normal"/>
        <w:spacing w:lineRule="auto" w:line="276" w:before="8" w:after="8"/>
        <w:ind w:start="0"/>
        <w:jc w:val="both"/>
        <w:rPr/>
      </w:pPr>
      <w:r>
        <w:rPr>
          <w:rFonts w:eastAsia="Arial" w:cs="Arial"/>
          <w:b/>
          <w:bCs/>
          <w:sz w:val="22"/>
          <w:szCs w:val="22"/>
        </w:rPr>
        <w:t xml:space="preserve">§4. </w:t>
      </w:r>
      <w:r>
        <w:rPr>
          <w:rFonts w:eastAsia="Arial" w:cs="Arial"/>
          <w:b w:val="false"/>
          <w:bCs w:val="false"/>
          <w:sz w:val="22"/>
          <w:szCs w:val="22"/>
        </w:rPr>
        <w:t>O Recorrido constituiu mandatário, o Dr. Neto, para sua representação no presente processo.</w:t>
      </w:r>
    </w:p>
    <w:p>
      <w:pPr>
        <w:pStyle w:val="Normal"/>
        <w:spacing w:lineRule="auto" w:line="276" w:before="8" w:after="8"/>
        <w:ind w:start="0"/>
        <w:jc w:val="both"/>
        <w:rPr/>
      </w:pPr>
      <w:r>
        <w:rPr>
          <w:rFonts w:eastAsia="Arial" w:cs="Arial"/>
          <w:b/>
          <w:bCs/>
          <w:sz w:val="22"/>
          <w:szCs w:val="22"/>
        </w:rPr>
        <w:t xml:space="preserve">§5. </w:t>
      </w:r>
      <w:r>
        <w:rPr>
          <w:rFonts w:eastAsia="Arial" w:cs="Arial"/>
          <w:b w:val="false"/>
          <w:bCs w:val="false"/>
          <w:sz w:val="22"/>
          <w:szCs w:val="22"/>
        </w:rPr>
        <w:t>O mandatário Dr. Neto aceitou o mandato e abandonou de facto o exercício das suas funções no dia 5 de novembro de 2025, pelas 18h00, na véspera da audiência agendada para 6 de novembro de 2025. O Recorrido não recebeu qualquer aviso prévio nem lhe foi concedido prazo razoável para constituir novo mandatário.</w:t>
      </w:r>
    </w:p>
    <w:p>
      <w:pPr>
        <w:pStyle w:val="Normal"/>
        <w:spacing w:lineRule="auto" w:line="276" w:before="8" w:after="8"/>
        <w:ind w:start="0"/>
        <w:jc w:val="both"/>
        <w:rPr/>
      </w:pPr>
      <w:r>
        <w:rPr>
          <w:rFonts w:eastAsia="Arial" w:cs="Arial"/>
          <w:b/>
          <w:bCs/>
          <w:sz w:val="22"/>
          <w:szCs w:val="22"/>
        </w:rPr>
        <w:t xml:space="preserve">§6. </w:t>
      </w:r>
      <w:r>
        <w:rPr>
          <w:rFonts w:eastAsia="Arial" w:cs="Arial"/>
          <w:b w:val="false"/>
          <w:bCs w:val="false"/>
          <w:sz w:val="22"/>
          <w:szCs w:val="22"/>
        </w:rPr>
        <w:t>Em 18 de setembro de 2025, data em que a Oposição foi entregue em tribunal, o Recorrido enviou ao mandatário um email contendo 21 ficheiros de prova e 3 versões do articulado de oposição, destinados a instruir integralmente o processo.</w:t>
      </w:r>
    </w:p>
    <w:p>
      <w:pPr>
        <w:pStyle w:val="Normal"/>
        <w:spacing w:lineRule="auto" w:line="276" w:before="8" w:after="8"/>
        <w:ind w:start="0"/>
        <w:jc w:val="both"/>
        <w:rPr/>
      </w:pPr>
      <w:r>
        <w:rPr>
          <w:rFonts w:eastAsia="Arial" w:cs="Arial"/>
          <w:b/>
          <w:bCs/>
          <w:sz w:val="22"/>
          <w:szCs w:val="22"/>
        </w:rPr>
        <w:t xml:space="preserve">§7. </w:t>
      </w:r>
      <w:r>
        <w:rPr>
          <w:rFonts w:eastAsia="Arial" w:cs="Arial"/>
          <w:b w:val="false"/>
          <w:bCs w:val="false"/>
          <w:sz w:val="22"/>
          <w:szCs w:val="22"/>
        </w:rPr>
        <w:t>Do conjunto de 21 ficheiros enviados pelo Recorrido ao mandatário em 18 de setembro de 2025, apenas 3 constam dos autos do processo. Os restantes 18 ficheiros não foram juntos ao processo pelo mandatário, apesar de integrarem prova documental diretamente relevante para os factos controvertidos, designadamente: prova de residência por 8 anos, relação comercial e contratual, obras realizadas, gestão de rendas e conexão direta com os créditos invocados.</w:t>
      </w:r>
    </w:p>
    <w:p>
      <w:pPr>
        <w:pStyle w:val="Normal"/>
        <w:spacing w:lineRule="auto" w:line="276" w:before="8" w:after="8"/>
        <w:ind w:start="0"/>
        <w:jc w:val="both"/>
        <w:rPr/>
      </w:pPr>
      <w:r>
        <w:rPr>
          <w:rFonts w:eastAsia="Arial" w:cs="Arial"/>
          <w:b/>
          <w:bCs/>
          <w:sz w:val="22"/>
          <w:szCs w:val="22"/>
        </w:rPr>
        <w:t xml:space="preserve">§8. </w:t>
      </w:r>
      <w:r>
        <w:rPr>
          <w:rFonts w:eastAsia="Arial" w:cs="Arial"/>
          <w:b w:val="false"/>
          <w:bCs w:val="false"/>
          <w:sz w:val="22"/>
          <w:szCs w:val="22"/>
        </w:rPr>
        <w:t>O Recorrido tomou conhecimento da omissão descrita no Facto 7 apenas em janeiro de 2026, dias antes da audiência marcada para 21 de janeiro de 2026. Antes disso, não teve acesso aos autos que lhe permitisse verificar o teor do processo e detetar a omissão.</w:t>
      </w:r>
    </w:p>
    <w:p>
      <w:pPr>
        <w:pStyle w:val="Normal"/>
        <w:spacing w:lineRule="auto" w:line="276" w:before="8" w:after="8"/>
        <w:ind w:start="0"/>
        <w:jc w:val="both"/>
        <w:rPr/>
      </w:pPr>
      <w:r>
        <w:rPr>
          <w:rFonts w:eastAsia="Arial" w:cs="Arial"/>
          <w:b/>
          <w:bCs/>
          <w:sz w:val="22"/>
          <w:szCs w:val="22"/>
        </w:rPr>
        <w:t xml:space="preserve">§9. </w:t>
      </w:r>
      <w:r>
        <w:rPr>
          <w:rFonts w:eastAsia="Arial" w:cs="Arial"/>
          <w:b w:val="false"/>
          <w:bCs w:val="false"/>
          <w:sz w:val="22"/>
          <w:szCs w:val="22"/>
        </w:rPr>
        <w:t>O rol de testemunhas apresentado pelo mandatário não foi escolhido pelo Recorrido. O Recorrido opôs-se expressamente à seleção efetuada e insistiu, de forma reiterada e documentada, até ao dia da audiência, para que o rol fosse corrigido com a designação das testemunhas que considerava essenciais para a descoberta da verdade material.</w:t>
      </w:r>
    </w:p>
    <w:p>
      <w:pPr>
        <w:pStyle w:val="Normal"/>
        <w:spacing w:lineRule="auto" w:line="276" w:before="8" w:after="8"/>
        <w:ind w:start="0"/>
        <w:jc w:val="both"/>
        <w:rPr/>
      </w:pPr>
      <w:r>
        <w:rPr>
          <w:rFonts w:eastAsia="Arial" w:cs="Arial"/>
          <w:b/>
          <w:bCs/>
          <w:sz w:val="22"/>
          <w:szCs w:val="22"/>
        </w:rPr>
        <w:t xml:space="preserve">§10. </w:t>
      </w:r>
      <w:r>
        <w:rPr>
          <w:rFonts w:eastAsia="Arial" w:cs="Arial"/>
          <w:b w:val="false"/>
          <w:bCs w:val="false"/>
          <w:sz w:val="22"/>
          <w:szCs w:val="22"/>
        </w:rPr>
        <w:t>As testemunhas arroladas pelo mandatário não residem em Portugal, circunstância que as tornava praticamente indisponíveis para comparecer à audiência e para a qual o Recorrido expressamente alertou o mandatário.</w:t>
      </w:r>
    </w:p>
    <w:p>
      <w:pPr>
        <w:pStyle w:val="Normal"/>
        <w:spacing w:lineRule="auto" w:line="276" w:before="8" w:after="8"/>
        <w:ind w:start="0"/>
        <w:jc w:val="both"/>
        <w:rPr/>
      </w:pPr>
      <w:r>
        <w:rPr>
          <w:rFonts w:eastAsia="Arial" w:cs="Arial"/>
          <w:b/>
          <w:bCs/>
          <w:sz w:val="22"/>
          <w:szCs w:val="22"/>
        </w:rPr>
        <w:t xml:space="preserve">§11. </w:t>
      </w:r>
      <w:r>
        <w:rPr>
          <w:rFonts w:eastAsia="Arial" w:cs="Arial"/>
          <w:b w:val="false"/>
          <w:bCs w:val="false"/>
          <w:sz w:val="22"/>
          <w:szCs w:val="22"/>
        </w:rPr>
        <w:t>As testemunhas nucleares para a descoberta da verdade material residem no 5.º andar do imóvel em causa. Estavam disponíveis e presentes nas datas das audiências. Não foram arroladas nem pelo mandatário nem pela Autora da providência cautelar.</w:t>
      </w:r>
    </w:p>
    <w:p>
      <w:pPr>
        <w:pStyle w:val="Normal"/>
        <w:pBdr>
          <w:bottom w:val="single" w:sz="6" w:space="2" w:color="1F3864"/>
        </w:pBdr>
        <w:spacing w:before="28" w:after="8"/>
        <w:jc w:val="start"/>
        <w:rPr/>
      </w:pPr>
      <w:r>
        <w:rPr>
          <w:rFonts w:eastAsia="Arial" w:cs="Arial"/>
          <w:b/>
          <w:bCs/>
          <w:caps/>
          <w:color w:val="1F3864"/>
          <w:sz w:val="22"/>
          <w:szCs w:val="22"/>
        </w:rPr>
        <w:t>Secção C — Notificações Sistematicamente Devolvidas</w:t>
      </w:r>
    </w:p>
    <w:p>
      <w:pPr>
        <w:pStyle w:val="Normal"/>
        <w:spacing w:lineRule="auto" w:line="276" w:before="8" w:after="8"/>
        <w:ind w:start="0"/>
        <w:jc w:val="both"/>
        <w:rPr/>
      </w:pPr>
      <w:r>
        <w:rPr>
          <w:rFonts w:eastAsia="Arial" w:cs="Arial"/>
          <w:b/>
          <w:bCs/>
          <w:sz w:val="22"/>
          <w:szCs w:val="22"/>
        </w:rPr>
        <w:t xml:space="preserve">§12. </w:t>
      </w:r>
      <w:r>
        <w:rPr>
          <w:rFonts w:eastAsia="Arial" w:cs="Arial"/>
          <w:b w:val="false"/>
          <w:bCs w:val="false"/>
          <w:sz w:val="22"/>
          <w:szCs w:val="22"/>
        </w:rPr>
        <w:t>O Tribunal enviou, em três rondas distintas, cartas registadas com aviso de receção destinadas às testemunhas e ao Recorrido. Em todas as três rondas, as cartas foram devolvidas ao remetente na véspera da audiência ou no próprio dia da audiência, sem que qualquer destinatário as tivesse recebido. Este padrão sistemático de não receção comprometeu em absoluto a participação do Recorrido e das suas testemunhas nas diligências.</w:t>
      </w:r>
    </w:p>
    <w:p>
      <w:pPr>
        <w:pStyle w:val="Normal"/>
        <w:pBdr>
          <w:bottom w:val="single" w:sz="6" w:space="2" w:color="1F3864"/>
        </w:pBdr>
        <w:spacing w:before="28" w:after="8"/>
        <w:jc w:val="start"/>
        <w:rPr/>
      </w:pPr>
      <w:r>
        <w:rPr>
          <w:rFonts w:eastAsia="Arial" w:cs="Arial"/>
          <w:b/>
          <w:bCs/>
          <w:caps/>
          <w:color w:val="1F3864"/>
          <w:sz w:val="22"/>
          <w:szCs w:val="22"/>
        </w:rPr>
        <w:t>Secção D — Abandono na Véspera da Audiência de 6 de Novembro de 2025</w:t>
      </w:r>
    </w:p>
    <w:p>
      <w:pPr>
        <w:pStyle w:val="Normal"/>
        <w:spacing w:lineRule="auto" w:line="276" w:before="8" w:after="8"/>
        <w:ind w:start="0"/>
        <w:jc w:val="both"/>
        <w:rPr/>
      </w:pPr>
      <w:r>
        <w:rPr>
          <w:rFonts w:eastAsia="Arial" w:cs="Arial"/>
          <w:b/>
          <w:bCs/>
          <w:sz w:val="22"/>
          <w:szCs w:val="22"/>
        </w:rPr>
        <w:t xml:space="preserve">§13. </w:t>
      </w:r>
      <w:r>
        <w:rPr>
          <w:rFonts w:eastAsia="Arial" w:cs="Arial"/>
          <w:b w:val="false"/>
          <w:bCs w:val="false"/>
          <w:sz w:val="22"/>
          <w:szCs w:val="22"/>
        </w:rPr>
        <w:t>Na véspera da audiência de 6 de novembro de 2025, pelas 18h00, o mandatário informou o Recorrido de que não haveria testemunhas a depor da sua parte.</w:t>
      </w:r>
    </w:p>
    <w:p>
      <w:pPr>
        <w:pStyle w:val="Normal"/>
        <w:spacing w:lineRule="auto" w:line="276" w:before="8" w:after="8"/>
        <w:ind w:start="0"/>
        <w:jc w:val="both"/>
        <w:rPr/>
      </w:pPr>
      <w:r>
        <w:rPr>
          <w:rFonts w:eastAsia="Arial" w:cs="Arial"/>
          <w:b/>
          <w:bCs/>
          <w:sz w:val="22"/>
          <w:szCs w:val="22"/>
        </w:rPr>
        <w:t xml:space="preserve">§14. </w:t>
      </w:r>
      <w:r>
        <w:rPr>
          <w:rFonts w:eastAsia="Arial" w:cs="Arial"/>
          <w:b w:val="false"/>
          <w:bCs w:val="false"/>
          <w:sz w:val="22"/>
          <w:szCs w:val="22"/>
        </w:rPr>
        <w:t>Pelas 19h00 do dia 5 de novembro de 2025, após tentativa de convencer o Recorrido a prescindir das testemunhas, o mandatário cessou completamente a resposta às comunicações do Recorrido. Manteve silêncio absoluto até às 13h00 do dia seguinte, 6 de novembro de 2025.</w:t>
      </w:r>
    </w:p>
    <w:p>
      <w:pPr>
        <w:pStyle w:val="Normal"/>
        <w:spacing w:lineRule="auto" w:line="276" w:before="8" w:after="8"/>
        <w:ind w:start="0"/>
        <w:jc w:val="both"/>
        <w:rPr/>
      </w:pPr>
      <w:r>
        <w:rPr>
          <w:rFonts w:eastAsia="Arial" w:cs="Arial"/>
          <w:b/>
          <w:bCs/>
          <w:sz w:val="22"/>
          <w:szCs w:val="22"/>
        </w:rPr>
        <w:t xml:space="preserve">§15. </w:t>
      </w:r>
      <w:r>
        <w:rPr>
          <w:rFonts w:eastAsia="Arial" w:cs="Arial"/>
          <w:b w:val="false"/>
          <w:bCs w:val="false"/>
          <w:sz w:val="22"/>
          <w:szCs w:val="22"/>
        </w:rPr>
        <w:t>O mandatário compareceu na audiência de 6 de novembro de 2025 pelas 13h00, declarando ao Recorrido que tinha adormecido. Não apresentou qualquer outra justificação para o silêncio das horas anteriores.</w:t>
      </w:r>
    </w:p>
    <w:p>
      <w:pPr>
        <w:pStyle w:val="Normal"/>
        <w:spacing w:lineRule="auto" w:line="276" w:before="8" w:after="8"/>
        <w:ind w:start="0"/>
        <w:jc w:val="both"/>
        <w:rPr/>
      </w:pPr>
      <w:r>
        <w:rPr>
          <w:rFonts w:eastAsia="Arial" w:cs="Arial"/>
          <w:b/>
          <w:bCs/>
          <w:sz w:val="22"/>
          <w:szCs w:val="22"/>
        </w:rPr>
        <w:t xml:space="preserve">§16. </w:t>
      </w:r>
      <w:r>
        <w:rPr>
          <w:rFonts w:eastAsia="Arial" w:cs="Arial"/>
          <w:b w:val="false"/>
          <w:bCs w:val="false"/>
          <w:sz w:val="22"/>
          <w:szCs w:val="22"/>
        </w:rPr>
        <w:t>Na audiência de 6 de novembro de 2025, o mandatário representou o Recorrido perante o tribunal contra a vontade expressa, documentada e reiteradamente comunicada pelo Recorrido.</w:t>
      </w:r>
    </w:p>
    <w:p>
      <w:pPr>
        <w:pStyle w:val="Normal"/>
        <w:pBdr>
          <w:bottom w:val="single" w:sz="6" w:space="2" w:color="1F3864"/>
        </w:pBdr>
        <w:spacing w:before="28" w:after="8"/>
        <w:jc w:val="start"/>
        <w:rPr/>
      </w:pPr>
      <w:r>
        <w:rPr>
          <w:rFonts w:eastAsia="Arial" w:cs="Arial"/>
          <w:b/>
          <w:bCs/>
          <w:caps/>
          <w:color w:val="1F3864"/>
          <w:sz w:val="22"/>
          <w:szCs w:val="22"/>
        </w:rPr>
        <w:t>Secção E — Impedimento de Acesso à Audiência de 6 de Novembro de 2025</w:t>
      </w:r>
    </w:p>
    <w:p>
      <w:pPr>
        <w:pStyle w:val="Normal"/>
        <w:spacing w:lineRule="auto" w:line="276" w:before="8" w:after="8"/>
        <w:ind w:start="0"/>
        <w:jc w:val="both"/>
        <w:rPr/>
      </w:pPr>
      <w:r>
        <w:rPr>
          <w:rFonts w:eastAsia="Arial" w:cs="Arial"/>
          <w:b/>
          <w:bCs/>
          <w:sz w:val="22"/>
          <w:szCs w:val="22"/>
        </w:rPr>
        <w:t xml:space="preserve">§17. </w:t>
      </w:r>
      <w:r>
        <w:rPr>
          <w:rFonts w:eastAsia="Arial" w:cs="Arial"/>
          <w:b w:val="false"/>
          <w:bCs w:val="false"/>
          <w:sz w:val="22"/>
          <w:szCs w:val="22"/>
        </w:rPr>
        <w:t>O Recorrido deslocou-se ao tribunal no dia 6 de novembro de 2025 com requerimento escrito e impresso, pronto a ser entregue ao Juiz, e com perguntas preparadas para a inquirição das testemunhas, demonstrando plena disponibilidade e preparação para participar na audiência.</w:t>
      </w:r>
    </w:p>
    <w:p>
      <w:pPr>
        <w:pStyle w:val="Normal"/>
        <w:spacing w:lineRule="auto" w:line="276" w:before="8" w:after="8"/>
        <w:ind w:start="0"/>
        <w:jc w:val="both"/>
        <w:rPr/>
      </w:pPr>
      <w:r>
        <w:rPr>
          <w:rFonts w:eastAsia="Arial" w:cs="Arial"/>
          <w:b/>
          <w:bCs/>
          <w:sz w:val="22"/>
          <w:szCs w:val="22"/>
        </w:rPr>
        <w:t xml:space="preserve">§18. </w:t>
      </w:r>
      <w:r>
        <w:rPr>
          <w:rFonts w:eastAsia="Arial" w:cs="Arial"/>
          <w:b w:val="false"/>
          <w:bCs w:val="false"/>
          <w:sz w:val="22"/>
          <w:szCs w:val="22"/>
        </w:rPr>
        <w:t>O funcionário do tribunal informou o Recorrido de que não era possível entregar o requerimento antes da audiência, uma vez que a sua entrega e processamento exigia 24 horas de antecedência para poder ser levado ao conhecimento do Juiz antes da diligência. Face a esta informação, o Recorrido decidiu aguardar pela audiência para entregar o requerimento diretamente ao Juiz.</w:t>
      </w:r>
    </w:p>
    <w:p>
      <w:pPr>
        <w:pStyle w:val="Normal"/>
        <w:spacing w:lineRule="auto" w:line="276" w:before="8" w:after="8"/>
        <w:ind w:start="0"/>
        <w:jc w:val="both"/>
        <w:rPr/>
      </w:pPr>
      <w:r>
        <w:rPr>
          <w:rFonts w:eastAsia="Arial" w:cs="Arial"/>
          <w:b/>
          <w:bCs/>
          <w:sz w:val="22"/>
          <w:szCs w:val="22"/>
        </w:rPr>
        <w:t xml:space="preserve">§19. </w:t>
      </w:r>
      <w:r>
        <w:rPr>
          <w:rFonts w:eastAsia="Arial" w:cs="Arial"/>
          <w:b w:val="false"/>
          <w:bCs w:val="false"/>
          <w:sz w:val="22"/>
          <w:szCs w:val="22"/>
        </w:rPr>
        <w:t>O funcionário do tribunal instruiu o Recorrido a aguardar fora da sala de audiência, assegurando-lhe que seria chamado a entrar no momento adequado para intervir.</w:t>
      </w:r>
    </w:p>
    <w:p>
      <w:pPr>
        <w:pStyle w:val="Normal"/>
        <w:spacing w:lineRule="auto" w:line="276" w:before="8" w:after="8"/>
        <w:ind w:start="0"/>
        <w:jc w:val="both"/>
        <w:rPr/>
      </w:pPr>
      <w:r>
        <w:rPr>
          <w:rFonts w:eastAsia="Arial" w:cs="Arial"/>
          <w:b/>
          <w:bCs/>
          <w:sz w:val="22"/>
          <w:szCs w:val="22"/>
        </w:rPr>
        <w:t xml:space="preserve">§20. </w:t>
      </w:r>
      <w:r>
        <w:rPr>
          <w:rFonts w:eastAsia="Arial" w:cs="Arial"/>
          <w:b w:val="false"/>
          <w:bCs w:val="false"/>
          <w:sz w:val="22"/>
          <w:szCs w:val="22"/>
        </w:rPr>
        <w:t>As testemunhas João Pedro, Filipe Delgado e Nathan, arroladas pela Autora da providência cautelar, prestaram declarações perante o tribunal e saíram da sala de audiência sem que o Recorrido tivesse sido chamado a entrar, em direta contradição com as instruções transmitidas pelo funcionário.</w:t>
      </w:r>
    </w:p>
    <w:p>
      <w:pPr>
        <w:pStyle w:val="Normal"/>
        <w:spacing w:lineRule="auto" w:line="276" w:before="8" w:after="8"/>
        <w:ind w:start="0"/>
        <w:jc w:val="both"/>
        <w:rPr/>
      </w:pPr>
      <w:r>
        <w:rPr>
          <w:rFonts w:eastAsia="Arial" w:cs="Arial"/>
          <w:b/>
          <w:bCs/>
          <w:sz w:val="22"/>
          <w:szCs w:val="22"/>
        </w:rPr>
        <w:t xml:space="preserve">§21. </w:t>
      </w:r>
      <w:r>
        <w:rPr>
          <w:rFonts w:eastAsia="Arial" w:cs="Arial"/>
          <w:b w:val="false"/>
          <w:bCs w:val="false"/>
          <w:sz w:val="22"/>
          <w:szCs w:val="22"/>
        </w:rPr>
        <w:t>Enquanto a testemunha Filipe Delgado prestava declarações, o Recorrido bateu à porta da sala de audiência com o objetivo de exercer o contraditório que lhe assistia e de inquirir a testemunha nos termos legais.</w:t>
      </w:r>
    </w:p>
    <w:p>
      <w:pPr>
        <w:pStyle w:val="Normal"/>
        <w:spacing w:lineRule="auto" w:line="276" w:before="8" w:after="8"/>
        <w:ind w:start="0"/>
        <w:jc w:val="both"/>
        <w:rPr/>
      </w:pPr>
      <w:r>
        <w:rPr>
          <w:rFonts w:eastAsia="Arial" w:cs="Arial"/>
          <w:b/>
          <w:bCs/>
          <w:sz w:val="22"/>
          <w:szCs w:val="22"/>
        </w:rPr>
        <w:t xml:space="preserve">§22. </w:t>
      </w:r>
      <w:r>
        <w:rPr>
          <w:rFonts w:eastAsia="Arial" w:cs="Arial"/>
          <w:b w:val="false"/>
          <w:bCs w:val="false"/>
          <w:sz w:val="22"/>
          <w:szCs w:val="22"/>
        </w:rPr>
        <w:t>O funcionário do tribunal levantou-se e impediu fisicamente o Recorrido de entrar na sala de audiência, obstaculizando o exercício do contraditório.</w:t>
      </w:r>
    </w:p>
    <w:p>
      <w:pPr>
        <w:pStyle w:val="Normal"/>
        <w:spacing w:lineRule="auto" w:line="276" w:before="8" w:after="8"/>
        <w:ind w:start="0"/>
        <w:jc w:val="both"/>
        <w:rPr/>
      </w:pPr>
      <w:r>
        <w:rPr>
          <w:rFonts w:eastAsia="Arial" w:cs="Arial"/>
          <w:b/>
          <w:bCs/>
          <w:sz w:val="22"/>
          <w:szCs w:val="22"/>
        </w:rPr>
        <w:t xml:space="preserve">§23. </w:t>
      </w:r>
      <w:r>
        <w:rPr>
          <w:rFonts w:eastAsia="Arial" w:cs="Arial"/>
          <w:b w:val="false"/>
          <w:bCs w:val="false"/>
          <w:sz w:val="22"/>
          <w:szCs w:val="22"/>
        </w:rPr>
        <w:t>O Recorrido foi impedido de exercer o contraditório relativamente às declarações prestadas pelas testemunhas João Pedro, Filipe Delgado e Nathan, tendo sido privado do direito de as inquirir.</w:t>
      </w:r>
    </w:p>
    <w:p>
      <w:pPr>
        <w:pStyle w:val="Normal"/>
        <w:spacing w:lineRule="auto" w:line="276" w:before="8" w:after="8"/>
        <w:ind w:start="0"/>
        <w:jc w:val="both"/>
        <w:rPr/>
      </w:pPr>
      <w:r>
        <w:rPr>
          <w:rFonts w:eastAsia="Arial" w:cs="Arial"/>
          <w:b/>
          <w:bCs/>
          <w:sz w:val="22"/>
          <w:szCs w:val="22"/>
        </w:rPr>
        <w:t xml:space="preserve">§24. </w:t>
      </w:r>
      <w:r>
        <w:rPr>
          <w:rFonts w:eastAsia="Arial" w:cs="Arial"/>
          <w:b w:val="false"/>
          <w:bCs w:val="false"/>
          <w:sz w:val="22"/>
          <w:szCs w:val="22"/>
        </w:rPr>
        <w:t>O funcionário do tribunal tinha conhecimento de que o mandatário se encontrava a representar o Recorrido contra a vontade expressa deste e não transmitiu essa informação ao Juiz, nem antes nem durante a audiência.</w:t>
      </w:r>
    </w:p>
    <w:p>
      <w:pPr>
        <w:pStyle w:val="Normal"/>
        <w:spacing w:lineRule="auto" w:line="276" w:before="8" w:after="8"/>
        <w:ind w:start="0"/>
        <w:jc w:val="both"/>
        <w:rPr/>
      </w:pPr>
      <w:r>
        <w:rPr>
          <w:rFonts w:eastAsia="Arial" w:cs="Arial"/>
          <w:b/>
          <w:bCs/>
          <w:sz w:val="22"/>
          <w:szCs w:val="22"/>
        </w:rPr>
        <w:t xml:space="preserve">§25. </w:t>
      </w:r>
      <w:r>
        <w:rPr>
          <w:rFonts w:eastAsia="Arial" w:cs="Arial"/>
          <w:b w:val="false"/>
          <w:bCs w:val="false"/>
          <w:sz w:val="22"/>
          <w:szCs w:val="22"/>
        </w:rPr>
        <w:t>A audiência de 6 de novembro de 2025 terminou sem que o Recorrido tivesse sido admitido a participar, a inquirir as testemunhas, a exercer o contraditório ou a entregar o requerimento que trazia consigo. O Recorrido ficou completamente excluído da sua própria audiência.</w:t>
      </w:r>
    </w:p>
    <w:p>
      <w:pPr>
        <w:pStyle w:val="Normal"/>
        <w:pBdr>
          <w:bottom w:val="single" w:sz="6" w:space="2" w:color="1F3864"/>
        </w:pBdr>
        <w:spacing w:before="28" w:after="8"/>
        <w:jc w:val="start"/>
        <w:rPr/>
      </w:pPr>
      <w:r>
        <w:rPr>
          <w:rFonts w:eastAsia="Arial" w:cs="Arial"/>
          <w:b/>
          <w:bCs/>
          <w:caps/>
          <w:color w:val="1F3864"/>
          <w:sz w:val="22"/>
          <w:szCs w:val="22"/>
        </w:rPr>
        <w:t>Secção F — Revogação Formal do Mandato</w:t>
      </w:r>
    </w:p>
    <w:p>
      <w:pPr>
        <w:pStyle w:val="Normal"/>
        <w:spacing w:lineRule="auto" w:line="276" w:before="8" w:after="8"/>
        <w:ind w:start="0"/>
        <w:jc w:val="both"/>
        <w:rPr/>
      </w:pPr>
      <w:r>
        <w:rPr>
          <w:rFonts w:eastAsia="Arial" w:cs="Arial"/>
          <w:b/>
          <w:bCs/>
          <w:sz w:val="22"/>
          <w:szCs w:val="22"/>
        </w:rPr>
        <w:t xml:space="preserve">§26. </w:t>
      </w:r>
      <w:r>
        <w:rPr>
          <w:rFonts w:eastAsia="Arial" w:cs="Arial"/>
          <w:b w:val="false"/>
          <w:bCs w:val="false"/>
          <w:sz w:val="22"/>
          <w:szCs w:val="22"/>
        </w:rPr>
        <w:t>No dia 6 de novembro de 2025, pelas 16h00, imediatamente após o termo da audiência, o Recorrido entregou na secretaria do tribunal um requerimento escrito no qual revogava formalmente o mandato do Dr. Neto e documentava a situação de abandono. O requerimento foi acompanhado das mensagens de comunicação entre o Recorrido e o mandatário que provavam factualmente os acontecimentos descritos nos Factos 13 a 16.</w:t>
      </w:r>
    </w:p>
    <w:p>
      <w:pPr>
        <w:pStyle w:val="Normal"/>
        <w:spacing w:lineRule="auto" w:line="276" w:before="8" w:after="8"/>
        <w:ind w:start="0"/>
        <w:jc w:val="both"/>
        <w:rPr/>
      </w:pPr>
      <w:r>
        <w:rPr>
          <w:rFonts w:eastAsia="Arial" w:cs="Arial"/>
          <w:b/>
          <w:bCs/>
          <w:sz w:val="22"/>
          <w:szCs w:val="22"/>
        </w:rPr>
        <w:t xml:space="preserve">§27. </w:t>
      </w:r>
      <w:r>
        <w:rPr>
          <w:rFonts w:eastAsia="Arial" w:cs="Arial"/>
          <w:b w:val="false"/>
          <w:bCs w:val="false"/>
          <w:sz w:val="22"/>
          <w:szCs w:val="22"/>
        </w:rPr>
        <w:t>No dia 7 de novembro de 2025, o Recorrido comunicou ao mandatário, por email, a revogação do mandato e a circunstância de este ter atuado em contrário à vontade expressa do mandante. Este email constitui prova documental autónoma e independente da revogação.</w:t>
      </w:r>
    </w:p>
    <w:p>
      <w:pPr>
        <w:pStyle w:val="Normal"/>
        <w:pBdr>
          <w:bottom w:val="single" w:sz="6" w:space="2" w:color="1F3864"/>
        </w:pBdr>
        <w:spacing w:before="28" w:after="8"/>
        <w:jc w:val="start"/>
        <w:rPr/>
      </w:pPr>
      <w:r>
        <w:rPr>
          <w:rFonts w:eastAsia="Arial" w:cs="Arial"/>
          <w:b/>
          <w:bCs/>
          <w:caps/>
          <w:color w:val="1F3864"/>
          <w:sz w:val="22"/>
          <w:szCs w:val="22"/>
        </w:rPr>
        <w:t>Secção G — Audiência de 18 de Novembro de 2025</w:t>
      </w:r>
    </w:p>
    <w:p>
      <w:pPr>
        <w:pStyle w:val="Normal"/>
        <w:spacing w:lineRule="auto" w:line="276" w:before="8" w:after="8"/>
        <w:ind w:start="0"/>
        <w:jc w:val="both"/>
        <w:rPr/>
      </w:pPr>
      <w:r>
        <w:rPr>
          <w:rFonts w:eastAsia="Arial" w:cs="Arial"/>
          <w:b/>
          <w:bCs/>
          <w:sz w:val="22"/>
          <w:szCs w:val="22"/>
        </w:rPr>
        <w:t xml:space="preserve">§28. </w:t>
      </w:r>
      <w:r>
        <w:rPr>
          <w:rFonts w:eastAsia="Arial" w:cs="Arial"/>
          <w:b w:val="false"/>
          <w:bCs w:val="false"/>
          <w:sz w:val="22"/>
          <w:szCs w:val="22"/>
        </w:rPr>
        <w:t>O Recorrido não recebeu qualquer notificação do tribunal relativa à audiência agendada para 18 de novembro de 2025. As cartas de notificação foram devolvidas ao remetente no próprio dia da diligência, sem receção pelo destinatário.</w:t>
      </w:r>
    </w:p>
    <w:p>
      <w:pPr>
        <w:pStyle w:val="Normal"/>
        <w:spacing w:lineRule="auto" w:line="276" w:before="8" w:after="8"/>
        <w:ind w:start="0"/>
        <w:jc w:val="both"/>
        <w:rPr/>
      </w:pPr>
      <w:r>
        <w:rPr>
          <w:rFonts w:eastAsia="Arial" w:cs="Arial"/>
          <w:b/>
          <w:bCs/>
          <w:sz w:val="22"/>
          <w:szCs w:val="22"/>
        </w:rPr>
        <w:t xml:space="preserve">§29. </w:t>
      </w:r>
      <w:r>
        <w:rPr>
          <w:rFonts w:eastAsia="Arial" w:cs="Arial"/>
          <w:b w:val="false"/>
          <w:bCs w:val="false"/>
          <w:sz w:val="22"/>
          <w:szCs w:val="22"/>
        </w:rPr>
        <w:t>As testemunhas arroladas no processo também não receberam qualquer notificação relativa à audiência de 18 de novembro de 2025, mantendo-se o padrão sistemático de devoluções já verificado nas rondas anteriores.</w:t>
      </w:r>
    </w:p>
    <w:p>
      <w:pPr>
        <w:pStyle w:val="Normal"/>
        <w:spacing w:lineRule="auto" w:line="276" w:before="8" w:after="8"/>
        <w:ind w:start="0"/>
        <w:jc w:val="both"/>
        <w:rPr/>
      </w:pPr>
      <w:r>
        <w:rPr>
          <w:rFonts w:eastAsia="Arial" w:cs="Arial"/>
          <w:b/>
          <w:bCs/>
          <w:sz w:val="22"/>
          <w:szCs w:val="22"/>
        </w:rPr>
        <w:t xml:space="preserve">§30. </w:t>
      </w:r>
      <w:r>
        <w:rPr>
          <w:rFonts w:eastAsia="Arial" w:cs="Arial"/>
          <w:b w:val="false"/>
          <w:bCs w:val="false"/>
          <w:sz w:val="22"/>
          <w:szCs w:val="22"/>
        </w:rPr>
        <w:t>O Recorrido tomou conhecimento da data da audiência de 18 de novembro de 2025 por iniciativa exclusivamente própria, contactando o tribunal entre os dias 6 e 18 de novembro de 2025, por não ter recebido qualquer comunicação oficial.</w:t>
      </w:r>
    </w:p>
    <w:p>
      <w:pPr>
        <w:pStyle w:val="Normal"/>
        <w:spacing w:lineRule="auto" w:line="276" w:before="8" w:after="8"/>
        <w:ind w:start="0"/>
        <w:jc w:val="both"/>
        <w:rPr/>
      </w:pPr>
      <w:r>
        <w:rPr>
          <w:rFonts w:eastAsia="Arial" w:cs="Arial"/>
          <w:b/>
          <w:bCs/>
          <w:sz w:val="22"/>
          <w:szCs w:val="22"/>
        </w:rPr>
        <w:t xml:space="preserve">§31. </w:t>
      </w:r>
      <w:r>
        <w:rPr>
          <w:rFonts w:eastAsia="Arial" w:cs="Arial"/>
          <w:b w:val="false"/>
          <w:bCs w:val="false"/>
          <w:sz w:val="22"/>
          <w:szCs w:val="22"/>
        </w:rPr>
        <w:t>Nuno Duarte e Cleber Santos compareceram na audiência de 18 de novembro de 2025 sem assistência de mandatário constituído. A comparência resultou de exclusiva iniciativa e diligência do Recorrido.</w:t>
      </w:r>
    </w:p>
    <w:p>
      <w:pPr>
        <w:pStyle w:val="Normal"/>
        <w:spacing w:lineRule="auto" w:line="276" w:before="8" w:after="8"/>
        <w:ind w:start="0"/>
        <w:jc w:val="both"/>
        <w:rPr/>
      </w:pPr>
      <w:r>
        <w:rPr>
          <w:rFonts w:eastAsia="Arial" w:cs="Arial"/>
          <w:b/>
          <w:bCs/>
          <w:sz w:val="22"/>
          <w:szCs w:val="22"/>
        </w:rPr>
        <w:t xml:space="preserve">§32. </w:t>
      </w:r>
      <w:r>
        <w:rPr>
          <w:rFonts w:eastAsia="Arial" w:cs="Arial"/>
          <w:b w:val="false"/>
          <w:bCs w:val="false"/>
          <w:sz w:val="22"/>
          <w:szCs w:val="22"/>
        </w:rPr>
        <w:t>O mandatário Dr. Neto, cujo mandato havia sido formalmente revogado pelo Recorrido desde 6 de novembro de 2025, encontrava-se presente na audiência de 18 de novembro de 2025, acompanhado do Dr. Forra, junto à porta da sala de audiência, sem que o Recorrido tivesse sido por si avisado.</w:t>
      </w:r>
    </w:p>
    <w:p>
      <w:pPr>
        <w:pStyle w:val="Normal"/>
        <w:spacing w:lineRule="auto" w:line="276" w:before="8" w:after="8"/>
        <w:ind w:start="0"/>
        <w:jc w:val="both"/>
        <w:rPr/>
      </w:pPr>
      <w:r>
        <w:rPr>
          <w:rFonts w:eastAsia="Arial" w:cs="Arial"/>
          <w:b/>
          <w:bCs/>
          <w:sz w:val="22"/>
          <w:szCs w:val="22"/>
        </w:rPr>
        <w:t xml:space="preserve">§33. </w:t>
      </w:r>
      <w:r>
        <w:rPr>
          <w:rFonts w:eastAsia="Arial" w:cs="Arial"/>
          <w:b w:val="false"/>
          <w:bCs w:val="false"/>
          <w:sz w:val="22"/>
          <w:szCs w:val="22"/>
        </w:rPr>
        <w:t>Na audiência de 18 de novembro de 2025, o Recorrido informou o funcionário do tribunal de que o mandato do Dr. Neto se encontrava revogado desde 6 de novembro de 2025 e de que este havia representado o Recorrido na audiência anterior contra a sua vontade expressa.</w:t>
      </w:r>
    </w:p>
    <w:p>
      <w:pPr>
        <w:pStyle w:val="Normal"/>
        <w:spacing w:lineRule="auto" w:line="276" w:before="8" w:after="8"/>
        <w:ind w:start="0"/>
        <w:jc w:val="both"/>
        <w:rPr/>
      </w:pPr>
      <w:r>
        <w:rPr>
          <w:rFonts w:eastAsia="Arial" w:cs="Arial"/>
          <w:b/>
          <w:bCs/>
          <w:sz w:val="22"/>
          <w:szCs w:val="22"/>
        </w:rPr>
        <w:t xml:space="preserve">§34. </w:t>
      </w:r>
      <w:r>
        <w:rPr>
          <w:rFonts w:eastAsia="Arial" w:cs="Arial"/>
          <w:b w:val="false"/>
          <w:bCs w:val="false"/>
          <w:sz w:val="22"/>
          <w:szCs w:val="22"/>
        </w:rPr>
        <w:t>Na audiência de 18 de novembro de 2025, o tribunal tomou nota da revogação do mandato do Dr. Neto, por declaração do Recorrido perante o Juiz.</w:t>
      </w:r>
    </w:p>
    <w:p>
      <w:pPr>
        <w:pStyle w:val="Normal"/>
        <w:spacing w:lineRule="auto" w:line="276" w:before="8" w:after="8"/>
        <w:ind w:start="0"/>
        <w:jc w:val="both"/>
        <w:rPr/>
      </w:pPr>
      <w:r>
        <w:rPr>
          <w:rFonts w:eastAsia="Arial" w:cs="Arial"/>
          <w:b/>
          <w:bCs/>
          <w:sz w:val="22"/>
          <w:szCs w:val="22"/>
        </w:rPr>
        <w:t xml:space="preserve">§35. </w:t>
      </w:r>
      <w:r>
        <w:rPr>
          <w:rFonts w:eastAsia="Arial" w:cs="Arial"/>
          <w:b w:val="false"/>
          <w:bCs w:val="false"/>
          <w:sz w:val="22"/>
          <w:szCs w:val="22"/>
        </w:rPr>
        <w:t>O tribunal recusou considerar o requerimento entregue pelo Recorrido na secretaria em 6 de novembro de 2025, invocando como fundamento o facto de o requerimento conter mensagens de comunicação entre o Recorrido e o ex-mandatário.</w:t>
      </w:r>
    </w:p>
    <w:p>
      <w:pPr>
        <w:pStyle w:val="Normal"/>
        <w:spacing w:lineRule="auto" w:line="276" w:before="8" w:after="8"/>
        <w:ind w:start="0"/>
        <w:jc w:val="both"/>
        <w:rPr/>
      </w:pPr>
      <w:r>
        <w:rPr>
          <w:rFonts w:eastAsia="Arial" w:cs="Arial"/>
          <w:b/>
          <w:bCs/>
          <w:sz w:val="22"/>
          <w:szCs w:val="22"/>
        </w:rPr>
        <w:t xml:space="preserve">§36. </w:t>
      </w:r>
      <w:r>
        <w:rPr>
          <w:rFonts w:eastAsia="Arial" w:cs="Arial"/>
          <w:b w:val="false"/>
          <w:bCs w:val="false"/>
          <w:sz w:val="22"/>
          <w:szCs w:val="22"/>
        </w:rPr>
        <w:t>As mensagens contidas no requerimento entregue em 6 de novembro de 2025 constituíam prova documental diretamente relevante para os factos do processo. Foram entregues tempestivamente na secretaria do tribunal, sendo que a sua desconsideração não pode ser imputada a qualquer negligência processual do Recorrido.</w:t>
      </w:r>
    </w:p>
    <w:p>
      <w:pPr>
        <w:pStyle w:val="Normal"/>
        <w:pBdr>
          <w:bottom w:val="single" w:sz="6" w:space="2" w:color="1F3864"/>
        </w:pBdr>
        <w:spacing w:before="28" w:after="8"/>
        <w:jc w:val="start"/>
        <w:rPr/>
      </w:pPr>
      <w:r>
        <w:rPr>
          <w:rFonts w:eastAsia="Arial" w:cs="Arial"/>
          <w:b/>
          <w:bCs/>
          <w:caps/>
          <w:color w:val="1F3864"/>
          <w:sz w:val="22"/>
          <w:szCs w:val="22"/>
        </w:rPr>
        <w:t>Secção H — Indefesa Continuada (5 de novembro de 2025 a 21 de janeiro de 2026)</w:t>
      </w:r>
    </w:p>
    <w:p>
      <w:pPr>
        <w:pStyle w:val="Normal"/>
        <w:spacing w:lineRule="auto" w:line="276" w:before="8" w:after="8"/>
        <w:ind w:start="0"/>
        <w:jc w:val="both"/>
        <w:rPr/>
      </w:pPr>
      <w:r>
        <w:rPr>
          <w:rFonts w:eastAsia="Arial" w:cs="Arial"/>
          <w:b/>
          <w:bCs/>
          <w:sz w:val="22"/>
          <w:szCs w:val="22"/>
        </w:rPr>
        <w:t xml:space="preserve">§37. </w:t>
      </w:r>
      <w:r>
        <w:rPr>
          <w:rFonts w:eastAsia="Arial" w:cs="Arial"/>
          <w:b w:val="false"/>
          <w:bCs w:val="false"/>
          <w:sz w:val="22"/>
          <w:szCs w:val="22"/>
        </w:rPr>
        <w:t>Entre o dia 5 de novembro de 2025 e o dia 21 de janeiro de 2026, o Recorrido contactou diariamente advogados e sociedades de advogados com vista a obter representação jurídica no processo, mantendo registo documentado de todos esses contactos.</w:t>
      </w:r>
    </w:p>
    <w:p>
      <w:pPr>
        <w:pStyle w:val="Normal"/>
        <w:spacing w:lineRule="auto" w:line="276" w:before="8" w:after="8"/>
        <w:ind w:start="0"/>
        <w:jc w:val="both"/>
        <w:rPr/>
      </w:pPr>
      <w:r>
        <w:rPr>
          <w:rFonts w:eastAsia="Arial" w:cs="Arial"/>
          <w:b/>
          <w:bCs/>
          <w:sz w:val="22"/>
          <w:szCs w:val="22"/>
        </w:rPr>
        <w:t xml:space="preserve">§38. </w:t>
      </w:r>
      <w:r>
        <w:rPr>
          <w:rFonts w:eastAsia="Arial" w:cs="Arial"/>
          <w:b w:val="false"/>
          <w:bCs w:val="false"/>
          <w:sz w:val="22"/>
          <w:szCs w:val="22"/>
        </w:rPr>
        <w:t>Em todos os casos, sem exceção, o advogado ou sociedade contactados aceitaram o caso num primeiro momento e comunicaram ao Recorrido, no dia seguinte, que não podiam representá-lo, sem apresentação de fundamentação que permitisse compreender ou superar o obstáculo.</w:t>
      </w:r>
    </w:p>
    <w:p>
      <w:pPr>
        <w:pStyle w:val="Normal"/>
        <w:spacing w:lineRule="auto" w:line="276" w:before="8" w:after="8"/>
        <w:ind w:start="0"/>
        <w:jc w:val="both"/>
        <w:rPr/>
      </w:pPr>
      <w:r>
        <w:rPr>
          <w:rFonts w:eastAsia="Arial" w:cs="Arial"/>
          <w:b/>
          <w:bCs/>
          <w:sz w:val="22"/>
          <w:szCs w:val="22"/>
        </w:rPr>
        <w:t xml:space="preserve">§39. </w:t>
      </w:r>
      <w:r>
        <w:rPr>
          <w:rFonts w:eastAsia="Arial" w:cs="Arial"/>
          <w:b w:val="false"/>
          <w:bCs w:val="false"/>
          <w:sz w:val="22"/>
          <w:szCs w:val="22"/>
        </w:rPr>
        <w:t>O Recorrido contactou a Ordem dos Advogados e requereu apoio judiciário durante o período referido no Facto 37, sem que tivesse obtido representação jurídica efetiva em qualquer momento antes da audiência de 21 de janeiro de 2026.</w:t>
      </w:r>
    </w:p>
    <w:p>
      <w:pPr>
        <w:pStyle w:val="Normal"/>
        <w:spacing w:lineRule="auto" w:line="276" w:before="8" w:after="8"/>
        <w:ind w:start="0"/>
        <w:jc w:val="both"/>
        <w:rPr/>
      </w:pPr>
      <w:r>
        <w:rPr>
          <w:rFonts w:eastAsia="Arial" w:cs="Arial"/>
          <w:b/>
          <w:bCs/>
          <w:sz w:val="22"/>
          <w:szCs w:val="22"/>
        </w:rPr>
        <w:t xml:space="preserve">§40. </w:t>
      </w:r>
      <w:r>
        <w:rPr>
          <w:rFonts w:eastAsia="Arial" w:cs="Arial"/>
          <w:b w:val="false"/>
          <w:bCs w:val="false"/>
          <w:sz w:val="22"/>
          <w:szCs w:val="22"/>
        </w:rPr>
        <w:t>O Recorrido apresentou requerimento redigido por si próprio, sem intervenção de mandatário, com o objetivo de minimizar a situação de indefesa e a manifesta desigualdade de armas processual face à Recorrente, que se encontrava representada por mandatário constituído durante todo o processo.</w:t>
      </w:r>
    </w:p>
    <w:p>
      <w:pPr>
        <w:pStyle w:val="Normal"/>
        <w:spacing w:lineRule="auto" w:line="276" w:before="8" w:after="8"/>
        <w:ind w:start="0"/>
        <w:jc w:val="both"/>
        <w:rPr/>
      </w:pPr>
      <w:r>
        <w:rPr>
          <w:rFonts w:eastAsia="Arial" w:cs="Arial"/>
          <w:b/>
          <w:bCs/>
          <w:sz w:val="22"/>
          <w:szCs w:val="22"/>
        </w:rPr>
        <w:t xml:space="preserve">§41. </w:t>
      </w:r>
      <w:r>
        <w:rPr>
          <w:rFonts w:eastAsia="Arial" w:cs="Arial"/>
          <w:b w:val="false"/>
          <w:bCs w:val="false"/>
          <w:sz w:val="22"/>
          <w:szCs w:val="22"/>
        </w:rPr>
        <w:t>O Recorrido solicitou ao tribunal as gravações e a ata da audiência de 6 de novembro de 2025. O tribunal indeferiu esse pedido. A resposta foi comunicada ao Recorrido apenas no dia 20 de janeiro de 2026, na véspera da audiência de 21 de janeiro de 2026.</w:t>
      </w:r>
    </w:p>
    <w:p>
      <w:pPr>
        <w:pStyle w:val="Normal"/>
        <w:pBdr>
          <w:bottom w:val="single" w:sz="6" w:space="2" w:color="1F3864"/>
        </w:pBdr>
        <w:spacing w:before="28" w:after="8"/>
        <w:jc w:val="start"/>
        <w:rPr/>
      </w:pPr>
      <w:r>
        <w:rPr>
          <w:rFonts w:eastAsia="Arial" w:cs="Arial"/>
          <w:b/>
          <w:bCs/>
          <w:caps/>
          <w:color w:val="1F3864"/>
          <w:sz w:val="22"/>
          <w:szCs w:val="22"/>
        </w:rPr>
        <w:t>Secção I — Prova Documental Não Considerada pelo Tribunal</w:t>
      </w:r>
    </w:p>
    <w:p>
      <w:pPr>
        <w:pStyle w:val="Normal"/>
        <w:spacing w:lineRule="auto" w:line="276" w:before="8" w:after="8"/>
        <w:ind w:start="0"/>
        <w:jc w:val="both"/>
        <w:rPr/>
      </w:pPr>
      <w:r>
        <w:rPr>
          <w:rFonts w:eastAsia="Arial" w:cs="Arial"/>
          <w:b/>
          <w:bCs/>
          <w:sz w:val="22"/>
          <w:szCs w:val="22"/>
        </w:rPr>
        <w:t xml:space="preserve">§42. </w:t>
      </w:r>
      <w:r>
        <w:rPr>
          <w:rFonts w:eastAsia="Arial" w:cs="Arial"/>
          <w:b w:val="false"/>
          <w:bCs w:val="false"/>
          <w:sz w:val="22"/>
          <w:szCs w:val="22"/>
        </w:rPr>
        <w:t>O requerimento entregue pelo Recorrido em 6 de novembro de 2025, que o tribunal não considerou, continha fotografias de cinco apartamentos devolutos de propriedade da Recorrente, com períodos de abandono documentados de 9, 12 e 25 anos, e de dois apartamentos adicionais devolutos há 3 anos — totalizando sete frações da Recorrente sem ocupação nem geração de rendimentos.</w:t>
      </w:r>
    </w:p>
    <w:p>
      <w:pPr>
        <w:pStyle w:val="Normal"/>
        <w:spacing w:lineRule="auto" w:line="276" w:before="8" w:after="8"/>
        <w:ind w:start="0"/>
        <w:jc w:val="both"/>
        <w:rPr/>
      </w:pPr>
      <w:r>
        <w:rPr>
          <w:rFonts w:eastAsia="Arial" w:cs="Arial"/>
          <w:b/>
          <w:bCs/>
          <w:sz w:val="22"/>
          <w:szCs w:val="22"/>
        </w:rPr>
        <w:t xml:space="preserve">§43. </w:t>
      </w:r>
      <w:r>
        <w:rPr>
          <w:rFonts w:eastAsia="Arial" w:cs="Arial"/>
          <w:b w:val="false"/>
          <w:bCs w:val="false"/>
          <w:sz w:val="22"/>
          <w:szCs w:val="22"/>
        </w:rPr>
        <w:t>A Recorrente alega, como fundamento do periculum in mora, a perda de rendimentos resultante da situação que opõe as partes. A prova fotográfica referida no Facto 42, não considerada pelo tribunal, era diretamente relevante e necessária para a apreciação da consistência e proporcionalidade dessa alegação, sendo que a própria Recorrente mantém devoluto um vasto parque habitacional sem qualquer diligência para o arrendar.</w:t>
      </w:r>
    </w:p>
    <w:p>
      <w:pPr>
        <w:pStyle w:val="Normal"/>
        <w:spacing w:lineRule="auto" w:line="276" w:before="8" w:after="8"/>
        <w:ind w:start="0"/>
        <w:jc w:val="both"/>
        <w:rPr/>
      </w:pPr>
      <w:r>
        <w:rPr>
          <w:rFonts w:eastAsia="Arial" w:cs="Arial"/>
          <w:b/>
          <w:bCs/>
          <w:sz w:val="22"/>
          <w:szCs w:val="22"/>
        </w:rPr>
        <w:t xml:space="preserve">§44. </w:t>
      </w:r>
      <w:r>
        <w:rPr>
          <w:rFonts w:eastAsia="Arial" w:cs="Arial"/>
          <w:b w:val="false"/>
          <w:bCs w:val="false"/>
          <w:sz w:val="22"/>
          <w:szCs w:val="22"/>
        </w:rPr>
        <w:t>O requerimento não considerado continha também fotografia do contador elétrico do imóvel, no qual é visível o selo e lacre da E-Redes, instalado e certificado desde 2019, refutando diretamente a alegação da Recorrente de ligação irregular à rede elétrica como fundamento do periculum in mora.</w:t>
      </w:r>
    </w:p>
    <w:p>
      <w:pPr>
        <w:pStyle w:val="Normal"/>
        <w:spacing w:lineRule="auto" w:line="276" w:before="8" w:after="8"/>
        <w:ind w:start="0"/>
        <w:jc w:val="both"/>
        <w:rPr/>
      </w:pPr>
      <w:r>
        <w:rPr>
          <w:rFonts w:eastAsia="Arial" w:cs="Arial"/>
          <w:b/>
          <w:bCs/>
          <w:sz w:val="22"/>
          <w:szCs w:val="22"/>
        </w:rPr>
        <w:t xml:space="preserve">§45. </w:t>
      </w:r>
      <w:r>
        <w:rPr>
          <w:rFonts w:eastAsia="Arial" w:cs="Arial"/>
          <w:b w:val="false"/>
          <w:bCs w:val="false"/>
          <w:sz w:val="22"/>
          <w:szCs w:val="22"/>
        </w:rPr>
        <w:t>Na audiência de 21 de janeiro de 2026, o Juiz declarou que não discutiria questões de direito com o Recorrido por este não se encontrar representado por mandatário, e que não consideraria os documentos apresentados pelo Recorrido, privando-o da possibilidade de contrariar factualmente as alegações da Recorrente.</w:t>
      </w:r>
    </w:p>
    <w:p>
      <w:pPr>
        <w:pStyle w:val="Normal"/>
        <w:pBdr>
          <w:bottom w:val="single" w:sz="6" w:space="2" w:color="1F3864"/>
        </w:pBdr>
        <w:spacing w:before="28" w:after="8"/>
        <w:jc w:val="start"/>
        <w:rPr/>
      </w:pPr>
      <w:r>
        <w:rPr>
          <w:rFonts w:eastAsia="Arial" w:cs="Arial"/>
          <w:b/>
          <w:bCs/>
          <w:caps/>
          <w:color w:val="1F3864"/>
          <w:sz w:val="22"/>
          <w:szCs w:val="22"/>
        </w:rPr>
        <w:t>Secção J — Residência e Reconhecimento da Ocupação Consentida</w:t>
      </w:r>
    </w:p>
    <w:p>
      <w:pPr>
        <w:pStyle w:val="Normal"/>
        <w:spacing w:lineRule="auto" w:line="276" w:before="8" w:after="8"/>
        <w:ind w:start="0"/>
        <w:jc w:val="both"/>
        <w:rPr/>
      </w:pPr>
      <w:r>
        <w:rPr>
          <w:rFonts w:eastAsia="Arial" w:cs="Arial"/>
          <w:b/>
          <w:bCs/>
          <w:sz w:val="22"/>
          <w:szCs w:val="22"/>
        </w:rPr>
        <w:t xml:space="preserve">§46. </w:t>
      </w:r>
      <w:r>
        <w:rPr>
          <w:rFonts w:eastAsia="Arial" w:cs="Arial"/>
          <w:b w:val="false"/>
          <w:bCs w:val="false"/>
          <w:sz w:val="22"/>
          <w:szCs w:val="22"/>
        </w:rPr>
        <w:t>O Recorrido residiu num apartamento de propriedade da Recorrente desde o ano de 2020, no âmbito de relação profissional e contratual estabelecida entre as partes, conforme resulta de prova documental junta ao processo.</w:t>
      </w:r>
    </w:p>
    <w:p>
      <w:pPr>
        <w:pStyle w:val="Normal"/>
        <w:spacing w:lineRule="auto" w:line="276" w:before="8" w:after="8"/>
        <w:ind w:start="0"/>
        <w:jc w:val="both"/>
        <w:rPr/>
      </w:pPr>
      <w:r>
        <w:rPr>
          <w:rFonts w:eastAsia="Arial" w:cs="Arial"/>
          <w:b/>
          <w:bCs/>
          <w:sz w:val="22"/>
          <w:szCs w:val="22"/>
        </w:rPr>
        <w:t xml:space="preserve">§47. </w:t>
      </w:r>
      <w:r>
        <w:rPr>
          <w:rFonts w:eastAsia="Arial" w:cs="Arial"/>
          <w:b w:val="false"/>
          <w:bCs w:val="false"/>
          <w:sz w:val="22"/>
          <w:szCs w:val="22"/>
        </w:rPr>
        <w:t>Em 2021, o Recorrido transferiu a sua residência para o apartamento atualmente em causa nos presentes autos, no quadro da mesma relação profissional e contratual com a Recorrente. Trata-se, na expressão acolhida pela sentença recorrida, de uma ocupação antiga, consentida e estável.</w:t>
      </w:r>
    </w:p>
    <w:p>
      <w:pPr>
        <w:pStyle w:val="Normal"/>
        <w:spacing w:lineRule="auto" w:line="276" w:before="8" w:after="8"/>
        <w:ind w:start="0"/>
        <w:jc w:val="both"/>
        <w:rPr/>
      </w:pPr>
      <w:r>
        <w:rPr>
          <w:rFonts w:eastAsia="Arial" w:cs="Arial"/>
          <w:b/>
          <w:bCs/>
          <w:sz w:val="22"/>
          <w:szCs w:val="22"/>
        </w:rPr>
        <w:t xml:space="preserve">§48. </w:t>
      </w:r>
      <w:r>
        <w:rPr>
          <w:rFonts w:eastAsia="Arial" w:cs="Arial"/>
          <w:b w:val="false"/>
          <w:bCs w:val="false"/>
          <w:sz w:val="22"/>
          <w:szCs w:val="22"/>
        </w:rPr>
        <w:t>Uma testemunha arrolada pela própria Autora da providência cautelar, nas declarações prestadas em audiência, reconheceu expressamente que o Recorrido reside no apartamento desde 2021 e que em nenhum momento houve qualquer acesso não consentido ao imóvel. Este depoimento afasta de forma categórica a tese de ocupação não autorizada que a Recorrente pretende sustentar.</w:t>
      </w:r>
    </w:p>
    <w:p>
      <w:pPr>
        <w:pStyle w:val="Normal"/>
        <w:spacing w:lineRule="auto" w:line="276" w:before="8" w:after="8"/>
        <w:ind w:start="0"/>
        <w:jc w:val="both"/>
        <w:rPr/>
      </w:pPr>
      <w:r>
        <w:rPr>
          <w:rFonts w:eastAsia="Arial" w:cs="Arial"/>
          <w:b/>
          <w:bCs/>
          <w:sz w:val="22"/>
          <w:szCs w:val="22"/>
        </w:rPr>
        <w:t xml:space="preserve">§49. </w:t>
      </w:r>
      <w:r>
        <w:rPr>
          <w:rFonts w:eastAsia="Arial" w:cs="Arial"/>
          <w:b w:val="false"/>
          <w:bCs w:val="false"/>
          <w:sz w:val="22"/>
          <w:szCs w:val="22"/>
        </w:rPr>
        <w:t>A mesma testemunha da Autora reconheceu, nas suas declarações, a existência de créditos devidos ao Recorrido, créditos esses diretamente relevantes para a apreciação do fumus boni iuris e do direito de retenção invocado pelo Recorrido ao abrigo do artigo 754.º do Código Civil.</w:t>
      </w:r>
    </w:p>
    <w:p>
      <w:pPr>
        <w:pStyle w:val="Normal"/>
        <w:spacing w:lineRule="auto" w:line="276" w:before="8" w:after="8"/>
        <w:ind w:start="0"/>
        <w:jc w:val="both"/>
        <w:rPr/>
      </w:pPr>
      <w:r>
        <w:rPr>
          <w:rFonts w:eastAsia="Arial" w:cs="Arial"/>
          <w:b/>
          <w:bCs/>
          <w:sz w:val="22"/>
          <w:szCs w:val="22"/>
        </w:rPr>
        <w:t xml:space="preserve">§50. </w:t>
      </w:r>
      <w:r>
        <w:rPr>
          <w:rFonts w:eastAsia="Arial" w:cs="Arial"/>
          <w:b w:val="false"/>
          <w:bCs w:val="false"/>
          <w:sz w:val="22"/>
          <w:szCs w:val="22"/>
        </w:rPr>
        <w:t>O conjunto dos Factos 46 a 49 demonstra que a ocupação do imóvel pelo Recorrido resulta de relação profissional e contratual de longa data, nunca interrompida nem contestada pela Recorrente até ao presente litígio, e que a própria prova produzida pela Autora corrobora, em aspetos decisivos, a versão factual do Recorrido.</w:t>
      </w:r>
    </w:p>
    <w:p>
      <w:pPr>
        <w:pStyle w:val="Normal"/>
        <w:pBdr>
          <w:bottom w:val="single" w:sz="6" w:space="2" w:color="1F3864"/>
        </w:pBdr>
        <w:spacing w:before="28" w:after="8"/>
        <w:jc w:val="start"/>
        <w:rPr/>
      </w:pPr>
      <w:r>
        <w:rPr>
          <w:rFonts w:eastAsia="Arial" w:cs="Arial"/>
          <w:b/>
          <w:bCs/>
          <w:caps/>
          <w:color w:val="1F3864"/>
          <w:sz w:val="22"/>
          <w:szCs w:val="22"/>
        </w:rPr>
        <w:t>Secção K — Desconsideração do Requerimento e Refutação das Acusações da Autora</w:t>
      </w:r>
    </w:p>
    <w:p>
      <w:pPr>
        <w:pStyle w:val="Normal"/>
        <w:spacing w:lineRule="auto" w:line="276" w:before="8" w:after="8"/>
        <w:ind w:start="0"/>
        <w:jc w:val="both"/>
        <w:rPr/>
      </w:pPr>
      <w:r>
        <w:rPr>
          <w:rFonts w:eastAsia="Arial" w:cs="Arial"/>
          <w:b/>
          <w:bCs/>
          <w:sz w:val="22"/>
          <w:szCs w:val="22"/>
        </w:rPr>
        <w:t xml:space="preserve">§51. </w:t>
      </w:r>
      <w:r>
        <w:rPr>
          <w:rFonts w:eastAsia="Arial" w:cs="Arial"/>
          <w:b w:val="false"/>
          <w:bCs w:val="false"/>
          <w:sz w:val="22"/>
          <w:szCs w:val="22"/>
        </w:rPr>
        <w:t>O requerimento entregue pelo Recorrido em 6 de novembro de 2025 continha a totalidade das mensagens trocadas entre o Recorrido e o ex-mandatário Dr. Neto nos dias 5 e 6 de novembro de 2025, constituindo prova documental direta, relevante e tempestiva para a correta instrução do processo.</w:t>
      </w:r>
    </w:p>
    <w:p>
      <w:pPr>
        <w:pStyle w:val="Normal"/>
        <w:spacing w:lineRule="auto" w:line="276" w:before="8" w:after="8"/>
        <w:ind w:start="0"/>
        <w:jc w:val="both"/>
        <w:rPr/>
      </w:pPr>
      <w:r>
        <w:rPr>
          <w:rFonts w:eastAsia="Arial" w:cs="Arial"/>
          <w:b/>
          <w:bCs/>
          <w:sz w:val="22"/>
          <w:szCs w:val="22"/>
        </w:rPr>
        <w:t xml:space="preserve">§52. </w:t>
      </w:r>
      <w:r>
        <w:rPr>
          <w:rFonts w:eastAsia="Arial" w:cs="Arial"/>
          <w:b w:val="false"/>
          <w:bCs w:val="false"/>
          <w:sz w:val="22"/>
          <w:szCs w:val="22"/>
        </w:rPr>
        <w:t>A justificação apresentada pelo tribunal para recusar a consideração do requerimento foi a de que o documento continha mensagens entre o Recorrido e o seu ex-mandatário. A desconsideração não pode ser imputada a qualquer negligência do Recorrido, que entregou o requerimento tempestivamente na secretaria do tribunal.</w:t>
      </w:r>
    </w:p>
    <w:p>
      <w:pPr>
        <w:pStyle w:val="Normal"/>
        <w:spacing w:lineRule="auto" w:line="276" w:before="8" w:after="8"/>
        <w:ind w:start="0"/>
        <w:jc w:val="both"/>
        <w:rPr/>
      </w:pPr>
      <w:r>
        <w:rPr>
          <w:rFonts w:eastAsia="Arial" w:cs="Arial"/>
          <w:b/>
          <w:bCs/>
          <w:sz w:val="22"/>
          <w:szCs w:val="22"/>
        </w:rPr>
        <w:t xml:space="preserve">§53. </w:t>
      </w:r>
      <w:r>
        <w:rPr>
          <w:rFonts w:eastAsia="Arial" w:cs="Arial"/>
          <w:b w:val="false"/>
          <w:bCs w:val="false"/>
          <w:sz w:val="22"/>
          <w:szCs w:val="22"/>
        </w:rPr>
        <w:t>A Autora da providência cautelar formula contra o Recorrido acusações de comportamentos agressivos e de intimidação, sem apresentar qualquer prova que as sustente.</w:t>
      </w:r>
    </w:p>
    <w:p>
      <w:pPr>
        <w:pStyle w:val="Normal"/>
        <w:spacing w:lineRule="auto" w:line="276" w:before="8" w:after="8"/>
        <w:ind w:start="0"/>
        <w:jc w:val="both"/>
        <w:rPr/>
      </w:pPr>
      <w:r>
        <w:rPr>
          <w:rFonts w:eastAsia="Arial" w:cs="Arial"/>
          <w:b/>
          <w:bCs/>
          <w:sz w:val="22"/>
          <w:szCs w:val="22"/>
        </w:rPr>
        <w:t xml:space="preserve">§54. </w:t>
      </w:r>
      <w:r>
        <w:rPr>
          <w:rFonts w:eastAsia="Arial" w:cs="Arial"/>
          <w:b w:val="false"/>
          <w:bCs w:val="false"/>
          <w:sz w:val="22"/>
          <w:szCs w:val="22"/>
        </w:rPr>
        <w:t>As mensagens entregues pelo Recorrido em 6 de novembro de 2025 provam, de forma objetiva e com precisão temporal, a falsidade das acusações formuladas pela Autora, identificando o espaço temporal exato dos factos, a identidade dos intervenientes, a dinâmica real das comunicações e a ausência absoluta dos comportamentos que a Autora imputa ao Recorrido.</w:t>
      </w:r>
    </w:p>
    <w:p>
      <w:pPr>
        <w:pStyle w:val="Normal"/>
        <w:spacing w:lineRule="auto" w:line="276" w:before="8" w:after="8"/>
        <w:ind w:start="0"/>
        <w:jc w:val="both"/>
        <w:rPr/>
      </w:pPr>
      <w:r>
        <w:rPr>
          <w:rFonts w:eastAsia="Arial" w:cs="Arial"/>
          <w:b/>
          <w:bCs/>
          <w:sz w:val="22"/>
          <w:szCs w:val="22"/>
        </w:rPr>
        <w:t xml:space="preserve">§55. </w:t>
      </w:r>
      <w:r>
        <w:rPr>
          <w:rFonts w:eastAsia="Arial" w:cs="Arial"/>
          <w:b w:val="false"/>
          <w:bCs w:val="false"/>
          <w:sz w:val="22"/>
          <w:szCs w:val="22"/>
        </w:rPr>
        <w:t>O tribunal, ao desconsiderar o requerimento, privou-se da prova que demonstrava a falsidade das acusações e que era indispensável para uma decisão materialmente correta da causa.</w:t>
      </w:r>
    </w:p>
    <w:p>
      <w:pPr>
        <w:pStyle w:val="Normal"/>
        <w:spacing w:before="8" w:after="8"/>
        <w:rPr/>
      </w:pPr>
      <w:r>
        <w:rPr/>
      </w:r>
    </w:p>
    <w:p>
      <w:pPr>
        <w:pStyle w:val="Normal"/>
        <w:pBdr>
          <w:bottom w:val="single" w:sz="6" w:space="2" w:color="1F3864"/>
        </w:pBdr>
        <w:spacing w:before="28" w:after="8"/>
        <w:jc w:val="start"/>
        <w:rPr/>
      </w:pPr>
      <w:r>
        <w:rPr>
          <w:rFonts w:eastAsia="Arial" w:cs="Arial"/>
          <w:b/>
          <w:bCs/>
          <w:caps/>
          <w:color w:val="1F3864"/>
          <w:sz w:val="22"/>
          <w:szCs w:val="22"/>
        </w:rPr>
        <w:t>Sumário Probatório — Correspondência entre Factos e Meios de Prova</w:t>
      </w:r>
    </w:p>
    <w:p>
      <w:pPr>
        <w:pStyle w:val="Normal"/>
        <w:spacing w:before="4" w:after="16"/>
        <w:jc w:val="both"/>
        <w:rPr/>
      </w:pPr>
      <w:r>
        <w:rPr>
          <w:rFonts w:eastAsia="Arial" w:cs="Arial"/>
          <w:i/>
          <w:iCs/>
          <w:color w:val="444444"/>
          <w:sz w:val="18"/>
          <w:szCs w:val="18"/>
        </w:rPr>
        <w:t>Para cada grupo de factos indica-se o meio de prova disponível ou requerível que o sustenta.</w:t>
      </w:r>
    </w:p>
    <w:p>
      <w:pPr>
        <w:pStyle w:val="Normal"/>
        <w:spacing w:before="6" w:after="6"/>
        <w:jc w:val="both"/>
        <w:rPr/>
      </w:pPr>
      <w:r>
        <w:rPr>
          <w:rFonts w:eastAsia="Arial" w:cs="Arial"/>
          <w:b/>
          <w:bCs/>
          <w:sz w:val="20"/>
          <w:szCs w:val="20"/>
        </w:rPr>
        <w:t xml:space="preserve">Factos 1 a 3: </w:t>
      </w:r>
      <w:r>
        <w:rPr>
          <w:rFonts w:eastAsia="Arial" w:cs="Arial"/>
          <w:sz w:val="20"/>
          <w:szCs w:val="20"/>
        </w:rPr>
        <w:t>Ausência de documento de citação regular; relato do Recorrido quanto à identificação do agente notificador.</w:t>
      </w:r>
    </w:p>
    <w:p>
      <w:pPr>
        <w:pStyle w:val="Normal"/>
        <w:spacing w:before="6" w:after="6"/>
        <w:jc w:val="both"/>
        <w:rPr/>
      </w:pPr>
      <w:r>
        <w:rPr>
          <w:rFonts w:eastAsia="Arial" w:cs="Arial"/>
          <w:b/>
          <w:bCs/>
          <w:sz w:val="20"/>
          <w:szCs w:val="20"/>
        </w:rPr>
        <w:t xml:space="preserve">Factos 4 a 8: </w:t>
      </w:r>
      <w:r>
        <w:rPr>
          <w:rFonts w:eastAsia="Arial" w:cs="Arial"/>
          <w:sz w:val="20"/>
          <w:szCs w:val="20"/>
        </w:rPr>
        <w:t>Email de 18 de setembro de 2025 com os 21 ficheiros; comparação entre os ficheiros enviados e os constantes dos autos.</w:t>
      </w:r>
    </w:p>
    <w:p>
      <w:pPr>
        <w:pStyle w:val="Normal"/>
        <w:spacing w:before="6" w:after="6"/>
        <w:jc w:val="both"/>
        <w:rPr/>
      </w:pPr>
      <w:r>
        <w:rPr>
          <w:rFonts w:eastAsia="Arial" w:cs="Arial"/>
          <w:b/>
          <w:bCs/>
          <w:sz w:val="20"/>
          <w:szCs w:val="20"/>
        </w:rPr>
        <w:t xml:space="preserve">Factos 9 a 11: </w:t>
      </w:r>
      <w:r>
        <w:rPr>
          <w:rFonts w:eastAsia="Arial" w:cs="Arial"/>
          <w:sz w:val="20"/>
          <w:szCs w:val="20"/>
        </w:rPr>
        <w:t>Mensagens documentadas do Recorrido ao mandatário; presença confirmada das testemunhas do 5.º andar.</w:t>
      </w:r>
    </w:p>
    <w:p>
      <w:pPr>
        <w:pStyle w:val="Normal"/>
        <w:spacing w:before="6" w:after="6"/>
        <w:jc w:val="both"/>
        <w:rPr/>
      </w:pPr>
      <w:r>
        <w:rPr>
          <w:rFonts w:eastAsia="Arial" w:cs="Arial"/>
          <w:b/>
          <w:bCs/>
          <w:sz w:val="20"/>
          <w:szCs w:val="20"/>
        </w:rPr>
        <w:t xml:space="preserve">Facto 12: </w:t>
      </w:r>
      <w:r>
        <w:rPr>
          <w:rFonts w:eastAsia="Arial" w:cs="Arial"/>
          <w:sz w:val="20"/>
          <w:szCs w:val="20"/>
        </w:rPr>
        <w:t>Avisos de receção das três rondas de cartas, com datas de devolução coincidentes com as audiências.</w:t>
      </w:r>
    </w:p>
    <w:p>
      <w:pPr>
        <w:pStyle w:val="Normal"/>
        <w:spacing w:before="6" w:after="6"/>
        <w:jc w:val="both"/>
        <w:rPr/>
      </w:pPr>
      <w:r>
        <w:rPr>
          <w:rFonts w:eastAsia="Arial" w:cs="Arial"/>
          <w:b/>
          <w:bCs/>
          <w:sz w:val="20"/>
          <w:szCs w:val="20"/>
        </w:rPr>
        <w:t xml:space="preserve">Factos 13 a 16: </w:t>
      </w:r>
      <w:r>
        <w:rPr>
          <w:rFonts w:eastAsia="Arial" w:cs="Arial"/>
          <w:sz w:val="20"/>
          <w:szCs w:val="20"/>
        </w:rPr>
        <w:t>Mensagens de telemóvel de 5 e 6 de novembro de 2025 entre o Recorrido e o Dr. Neto.</w:t>
      </w:r>
    </w:p>
    <w:p>
      <w:pPr>
        <w:pStyle w:val="Normal"/>
        <w:spacing w:before="6" w:after="6"/>
        <w:jc w:val="both"/>
        <w:rPr/>
      </w:pPr>
      <w:r>
        <w:rPr>
          <w:rFonts w:eastAsia="Arial" w:cs="Arial"/>
          <w:b/>
          <w:bCs/>
          <w:sz w:val="20"/>
          <w:szCs w:val="20"/>
        </w:rPr>
        <w:t xml:space="preserve">Factos 17 a 25: </w:t>
      </w:r>
      <w:r>
        <w:rPr>
          <w:rFonts w:eastAsia="Arial" w:cs="Arial"/>
          <w:sz w:val="20"/>
          <w:szCs w:val="20"/>
        </w:rPr>
        <w:t>Requerimento entregue na secretaria às 16h00 de 6 de novembro de 2025; mensagens do próprio dia; testemunhos presenciais.</w:t>
      </w:r>
    </w:p>
    <w:p>
      <w:pPr>
        <w:pStyle w:val="Normal"/>
        <w:spacing w:before="6" w:after="6"/>
        <w:jc w:val="both"/>
        <w:rPr/>
      </w:pPr>
      <w:r>
        <w:rPr>
          <w:rFonts w:eastAsia="Arial" w:cs="Arial"/>
          <w:b/>
          <w:bCs/>
          <w:sz w:val="20"/>
          <w:szCs w:val="20"/>
        </w:rPr>
        <w:t xml:space="preserve">Factos 26 e 27: </w:t>
      </w:r>
      <w:r>
        <w:rPr>
          <w:rFonts w:eastAsia="Arial" w:cs="Arial"/>
          <w:sz w:val="20"/>
          <w:szCs w:val="20"/>
        </w:rPr>
        <w:t>Requerimento de revogação entregue na secretaria; email de revogação de 7 de novembro de 2025.</w:t>
      </w:r>
    </w:p>
    <w:p>
      <w:pPr>
        <w:pStyle w:val="Normal"/>
        <w:spacing w:before="6" w:after="6"/>
        <w:jc w:val="both"/>
        <w:rPr/>
      </w:pPr>
      <w:r>
        <w:rPr>
          <w:rFonts w:eastAsia="Arial" w:cs="Arial"/>
          <w:b/>
          <w:bCs/>
          <w:sz w:val="20"/>
          <w:szCs w:val="20"/>
        </w:rPr>
        <w:t xml:space="preserve">Factos 28 a 36: </w:t>
      </w:r>
      <w:r>
        <w:rPr>
          <w:rFonts w:eastAsia="Arial" w:cs="Arial"/>
          <w:sz w:val="20"/>
          <w:szCs w:val="20"/>
        </w:rPr>
        <w:t>Avisos de receção das cartas devolvidas; registo dos contactos do Recorrido com o tribunal entre 6 e 18 de novembro de 2025.</w:t>
      </w:r>
    </w:p>
    <w:p>
      <w:pPr>
        <w:pStyle w:val="Normal"/>
        <w:spacing w:before="6" w:after="6"/>
        <w:jc w:val="both"/>
        <w:rPr/>
      </w:pPr>
      <w:r>
        <w:rPr>
          <w:rFonts w:eastAsia="Arial" w:cs="Arial"/>
          <w:b/>
          <w:bCs/>
          <w:sz w:val="20"/>
          <w:szCs w:val="20"/>
        </w:rPr>
        <w:t xml:space="preserve">Factos 37 a 41: </w:t>
      </w:r>
      <w:r>
        <w:rPr>
          <w:rFonts w:eastAsia="Arial" w:cs="Arial"/>
          <w:sz w:val="20"/>
          <w:szCs w:val="20"/>
        </w:rPr>
        <w:t>Registo diário e documentado dos contactos com advogados; resposta ao pedido de gravações recebida em 20 de janeiro de 2026.</w:t>
      </w:r>
    </w:p>
    <w:p>
      <w:pPr>
        <w:pStyle w:val="Normal"/>
        <w:spacing w:before="6" w:after="6"/>
        <w:jc w:val="both"/>
        <w:rPr/>
      </w:pPr>
      <w:r>
        <w:rPr>
          <w:rFonts w:eastAsia="Arial" w:cs="Arial"/>
          <w:b/>
          <w:bCs/>
          <w:sz w:val="20"/>
          <w:szCs w:val="20"/>
        </w:rPr>
        <w:t xml:space="preserve">Factos 42 a 45: </w:t>
      </w:r>
      <w:r>
        <w:rPr>
          <w:rFonts w:eastAsia="Arial" w:cs="Arial"/>
          <w:sz w:val="20"/>
          <w:szCs w:val="20"/>
        </w:rPr>
        <w:t>Fotografias dos apartamentos devolutos; fotografia do contador com selo E-Redes desde 2019.</w:t>
      </w:r>
    </w:p>
    <w:p>
      <w:pPr>
        <w:pStyle w:val="Normal"/>
        <w:spacing w:before="6" w:after="6"/>
        <w:jc w:val="both"/>
        <w:rPr/>
      </w:pPr>
      <w:r>
        <w:rPr>
          <w:rFonts w:eastAsia="Arial" w:cs="Arial"/>
          <w:b/>
          <w:bCs/>
          <w:sz w:val="20"/>
          <w:szCs w:val="20"/>
        </w:rPr>
        <w:t xml:space="preserve">Factos 46 a 50: </w:t>
      </w:r>
      <w:r>
        <w:rPr>
          <w:rFonts w:eastAsia="Arial" w:cs="Arial"/>
          <w:sz w:val="20"/>
          <w:szCs w:val="20"/>
        </w:rPr>
        <w:t>Prova documental de residência desde 2020; declarações da testemunha da Autora em audiência; documentos comprovativos dos créditos.</w:t>
      </w:r>
    </w:p>
    <w:p>
      <w:pPr>
        <w:pStyle w:val="Normal"/>
        <w:spacing w:before="6" w:after="6"/>
        <w:jc w:val="both"/>
        <w:rPr/>
      </w:pPr>
      <w:r>
        <w:rPr>
          <w:rFonts w:eastAsia="Arial" w:cs="Arial"/>
          <w:b/>
          <w:bCs/>
          <w:sz w:val="20"/>
          <w:szCs w:val="20"/>
        </w:rPr>
        <w:t xml:space="preserve">Factos 51 a 55: </w:t>
      </w:r>
      <w:r>
        <w:rPr>
          <w:rFonts w:eastAsia="Arial" w:cs="Arial"/>
          <w:sz w:val="20"/>
          <w:szCs w:val="20"/>
        </w:rPr>
        <w:t>Teor integral das mensagens de 5 e 6 de novembro de 2025 juntas ao requerimento entregue na secretaria.</w:t>
      </w:r>
    </w:p>
    <w:p>
      <w:pPr>
        <w:pStyle w:val="Normal"/>
        <w:spacing w:before="8" w:after="8"/>
        <w:rPr/>
      </w:pPr>
      <w:r>
        <w:rPr/>
      </w:r>
    </w:p>
    <w:p>
      <w:pPr>
        <w:pStyle w:val="Normal"/>
        <w:pBdr>
          <w:bottom w:val="single" w:sz="6" w:space="2" w:color="1F3864"/>
        </w:pBdr>
        <w:spacing w:before="28" w:after="8"/>
        <w:jc w:val="start"/>
        <w:rPr/>
      </w:pPr>
      <w:r>
        <w:rPr>
          <w:rFonts w:eastAsia="Arial" w:cs="Arial"/>
          <w:b/>
          <w:bCs/>
          <w:caps/>
          <w:color w:val="1F3864"/>
          <w:sz w:val="22"/>
          <w:szCs w:val="22"/>
        </w:rPr>
        <w:t>Nota Conclusiva</w:t>
      </w:r>
    </w:p>
    <w:p>
      <w:pPr>
        <w:pStyle w:val="Normal"/>
        <w:spacing w:lineRule="auto" w:line="276" w:before="8" w:after="8"/>
        <w:jc w:val="both"/>
        <w:rPr/>
      </w:pPr>
      <w:r>
        <w:rPr>
          <w:rFonts w:eastAsia="Arial" w:cs="Arial"/>
          <w:sz w:val="22"/>
          <w:szCs w:val="22"/>
        </w:rPr>
        <w:t>Os 55 factos supra descritos, todos ocorridos no ano de 2025 com exceção da audiência de 21 de janeiro de 2026, evidenciam uma sucessão encadeada de irregularidades processuais, omissões graves do mandatário constituído e obstruções ao exercício dos direitos do Recorrido. Esta sucessão de factos culminou na violação sistemática dos direitos fundamentais do Recorrido ao acesso ao direito, ao contraditório e ao processo equitativo, consagrados no artigo 20.º da Constituição da República Portuguesa e no artigo 6.º da Convenção Europeia dos Direitos do Homem.</w:t>
      </w:r>
    </w:p>
    <w:p>
      <w:pPr>
        <w:pStyle w:val="Normal"/>
        <w:spacing w:before="8" w:after="8"/>
        <w:rPr/>
      </w:pPr>
      <w:r>
        <w:rPr/>
      </w:r>
    </w:p>
    <w:p>
      <w:pPr>
        <w:pStyle w:val="Normal"/>
        <w:spacing w:before="8" w:after="8"/>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9" w:h="16834"/>
      <w:pgMar w:left="1701" w:right="1701" w:gutter="0" w:header="708" w:top="1701" w:footer="708"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Mono">
    <w:altName w:val="Courier New"/>
    <w:charset w:val="00" w:characterSet="windows-1252"/>
    <w:family w:val="modern"/>
    <w:pitch w:val="fixed"/>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6"/>
        <w:szCs w:val="16"/>
      </w:rPr>
      <w:t xml:space="preserve">Página </w:t>
    </w:r>
    <w:r>
      <w:rPr>
        <w:rFonts w:eastAsia="Arial" w:cs="Arial"/>
        <w:sz w:val="12"/>
        <w:szCs w:val="12"/>
      </w:rPr>
      <w:fldChar w:fldCharType="begin"/>
    </w:r>
    <w:r>
      <w:rPr>
        <w:rFonts w:eastAsia="Arial" w:cs="Arial"/>
        <w:sz w:val="12"/>
        <w:szCs w:val="12"/>
      </w:rPr>
      <w:instrText xml:space="preserve"> PAGE </w:instrText>
    </w:r>
    <w:r>
      <w:rPr>
        <w:rFonts w:eastAsia="Arial" w:cs="Arial"/>
        <w:sz w:val="12"/>
        <w:szCs w:val="12"/>
      </w:rPr>
      <w:fldChar w:fldCharType="separate"/>
    </w:r>
    <w:r>
      <w:rPr>
        <w:rFonts w:eastAsia="Arial" w:cs="Arial"/>
        <w:sz w:val="12"/>
        <w:szCs w:val="12"/>
      </w:rPr>
      <w:t>5</w:t>
    </w:r>
    <w:r>
      <w:rPr>
        <w:rFonts w:eastAsia="Arial" w:cs="Arial"/>
        <w:sz w:val="12"/>
        <w:szCs w:val="12"/>
      </w:rPr>
      <w:fldChar w:fldCharType="end"/>
    </w:r>
    <w:r>
      <w:rPr>
        <w:rFonts w:eastAsia="Arial" w:cs="Arial"/>
        <w:color w:val="888888"/>
        <w:sz w:val="16"/>
        <w:szCs w:val="16"/>
      </w:rPr>
      <w:t xml:space="preserve"> de </w:t>
    </w:r>
    <w:r>
      <w:rPr>
        <w:rFonts w:eastAsia="Arial" w:cs="Arial"/>
        <w:sz w:val="12"/>
        <w:szCs w:val="12"/>
      </w:rPr>
      <w:fldChar w:fldCharType="begin"/>
    </w:r>
    <w:r>
      <w:rPr>
        <w:rFonts w:eastAsia="Arial" w:cs="Arial"/>
        <w:sz w:val="12"/>
        <w:szCs w:val="12"/>
      </w:rPr>
      <w:instrText xml:space="preserve"> NUMPAGES </w:instrText>
    </w:r>
    <w:r>
      <w:rPr>
        <w:rFonts w:eastAsia="Arial" w:cs="Arial"/>
        <w:sz w:val="12"/>
        <w:szCs w:val="12"/>
      </w:rPr>
      <w:fldChar w:fldCharType="separate"/>
    </w:r>
    <w:r>
      <w:rPr>
        <w:rFonts w:eastAsia="Arial" w:cs="Arial"/>
        <w:sz w:val="12"/>
        <w:szCs w:val="12"/>
      </w:rPr>
      <w:t>6</w:t>
    </w:r>
    <w:r>
      <w:rPr>
        <w:rFonts w:eastAsia="Arial" w:cs="Arial"/>
        <w:sz w:val="12"/>
        <w:szCs w:val="1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6"/>
        <w:szCs w:val="16"/>
      </w:rPr>
      <w:t xml:space="preserve">Página </w:t>
    </w:r>
    <w:r>
      <w:rPr>
        <w:rFonts w:eastAsia="Arial" w:cs="Arial"/>
        <w:sz w:val="12"/>
        <w:szCs w:val="12"/>
      </w:rPr>
      <w:fldChar w:fldCharType="begin"/>
    </w:r>
    <w:r>
      <w:rPr>
        <w:rFonts w:eastAsia="Arial" w:cs="Arial"/>
        <w:sz w:val="12"/>
        <w:szCs w:val="12"/>
      </w:rPr>
      <w:instrText xml:space="preserve"> PAGE </w:instrText>
    </w:r>
    <w:r>
      <w:rPr>
        <w:rFonts w:eastAsia="Arial" w:cs="Arial"/>
        <w:sz w:val="12"/>
        <w:szCs w:val="12"/>
      </w:rPr>
      <w:fldChar w:fldCharType="separate"/>
    </w:r>
    <w:r>
      <w:rPr>
        <w:rFonts w:eastAsia="Arial" w:cs="Arial"/>
        <w:sz w:val="12"/>
        <w:szCs w:val="12"/>
      </w:rPr>
      <w:t>5</w:t>
    </w:r>
    <w:r>
      <w:rPr>
        <w:rFonts w:eastAsia="Arial" w:cs="Arial"/>
        <w:sz w:val="12"/>
        <w:szCs w:val="12"/>
      </w:rPr>
      <w:fldChar w:fldCharType="end"/>
    </w:r>
    <w:r>
      <w:rPr>
        <w:rFonts w:eastAsia="Arial" w:cs="Arial"/>
        <w:color w:val="888888"/>
        <w:sz w:val="16"/>
        <w:szCs w:val="16"/>
      </w:rPr>
      <w:t xml:space="preserve"> de </w:t>
    </w:r>
    <w:r>
      <w:rPr>
        <w:rFonts w:eastAsia="Arial" w:cs="Arial"/>
        <w:sz w:val="12"/>
        <w:szCs w:val="12"/>
      </w:rPr>
      <w:fldChar w:fldCharType="begin"/>
    </w:r>
    <w:r>
      <w:rPr>
        <w:rFonts w:eastAsia="Arial" w:cs="Arial"/>
        <w:sz w:val="12"/>
        <w:szCs w:val="12"/>
      </w:rPr>
      <w:instrText xml:space="preserve"> NUMPAGES </w:instrText>
    </w:r>
    <w:r>
      <w:rPr>
        <w:rFonts w:eastAsia="Arial" w:cs="Arial"/>
        <w:sz w:val="12"/>
        <w:szCs w:val="12"/>
      </w:rPr>
      <w:fldChar w:fldCharType="separate"/>
    </w:r>
    <w:r>
      <w:rPr>
        <w:rFonts w:eastAsia="Arial" w:cs="Arial"/>
        <w:sz w:val="12"/>
        <w:szCs w:val="12"/>
      </w:rPr>
      <w:t>6</w:t>
    </w:r>
    <w:r>
      <w:rPr>
        <w:rFonts w:eastAsia="Arial" w:cs="Arial"/>
        <w:sz w:val="12"/>
        <w:szCs w:val="1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AAAAAA"/>
      </w:pBdr>
      <w:jc w:val="center"/>
      <w:rPr/>
    </w:pPr>
    <w:r>
      <w:rPr>
        <w:rFonts w:eastAsia="Arial" w:cs="Arial"/>
        <w:color w:val="555555"/>
        <w:sz w:val="18"/>
        <w:szCs w:val="18"/>
      </w:rPr>
      <w:t>Proc. n.º 3719/25.0T8LSB — Tribunal da Relação de Lisboa | Contra-Alegações — Factos Provados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AAAAAA"/>
      </w:pBdr>
      <w:jc w:val="center"/>
      <w:rPr/>
    </w:pPr>
    <w:r>
      <w:rPr>
        <w:rFonts w:eastAsia="Arial" w:cs="Arial"/>
        <w:color w:val="555555"/>
        <w:sz w:val="18"/>
        <w:szCs w:val="18"/>
      </w:rPr>
      <w:t>Proc. n.º 3719/25.0T8LSB — Tribunal da Relação de Lisboa | Contra-Alegações — Factos Provados</w:t>
    </w:r>
  </w:p>
</w:hdr>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LibreOffice/26.2.5.2$Windows_X86_64 LibreOffice_project/cd7284b4cbbfeb507e630c1aac019f4157393acb</Application>
  <AppVersion>15.0000</AppVersion>
  <Pages>6</Pages>
  <Words>2833</Words>
  <Characters>15279</Characters>
  <CharactersWithSpaces>18042</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2026-02-22T14:37:48Z</dcterms:created>
  <dc:creator>Un-named</dc:creator>
  <dc:description/>
  <dc:language>en-US</dc:language>
  <cp:lastModifiedBy/>
  <dcterms:modified xsi:type="dcterms:W3CDTF">2026-08-22T17:47:01Z</dcterms:modified>
  <cp:revision>4</cp:revision>
  <dc:subject/>
  <dc:title/>
</cp:coreProperties>
</file>