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4D9D6B">
      <w:pPr>
        <w:spacing w:before="1200" w:after="240"/>
        <w:jc w:val="center"/>
      </w:pPr>
      <w:r>
        <w:rPr>
          <w:rFonts w:ascii="Arial" w:hAnsi="Arial" w:eastAsia="Arial" w:cs="Arial"/>
          <w:b/>
          <w:bCs/>
          <w:sz w:val="36"/>
          <w:szCs w:val="36"/>
        </w:rPr>
        <w:t>DOSSIER TÉCNICO-JURÍDICO</w:t>
      </w:r>
    </w:p>
    <w:p w14:paraId="58AD5CC8">
      <w:pPr>
        <w:spacing w:after="240"/>
        <w:jc w:val="center"/>
      </w:pPr>
      <w:r>
        <w:rPr>
          <w:rFonts w:ascii="Arial" w:hAnsi="Arial" w:eastAsia="Arial" w:cs="Arial"/>
          <w:b/>
          <w:bCs/>
          <w:sz w:val="32"/>
          <w:szCs w:val="32"/>
        </w:rPr>
        <w:t>REFORÇO DA EFICIÊNCIA PROCESSUAL</w:t>
      </w:r>
    </w:p>
    <w:p w14:paraId="0D5B1E86">
      <w:pPr>
        <w:spacing w:after="600"/>
        <w:jc w:val="center"/>
      </w:pPr>
      <w:r>
        <w:rPr>
          <w:rFonts w:ascii="Arial" w:hAnsi="Arial" w:eastAsia="Arial" w:cs="Arial"/>
          <w:i/>
          <w:iCs/>
          <w:sz w:val="24"/>
          <w:szCs w:val="24"/>
        </w:rPr>
        <w:t>Plano operacional para oito eixos de intervenção, com identificação documentada de irregularidades, jurisprudência convencional vinculativa e propostas técnicas de remediação</w:t>
      </w:r>
    </w:p>
    <w:p w14:paraId="452359DB">
      <w:pPr>
        <w:spacing w:after="400"/>
        <w:jc w:val="center"/>
      </w:pPr>
      <w:r>
        <w:rPr>
          <w:rFonts w:ascii="Arial" w:hAnsi="Arial" w:eastAsia="Arial" w:cs="Arial"/>
          <w:b/>
          <w:bCs/>
          <w:sz w:val="26"/>
          <w:szCs w:val="26"/>
        </w:rPr>
        <w:t>Caso de Nuno Miguel Silva Duarte</w:t>
      </w:r>
    </w:p>
    <w:p w14:paraId="321E52D4">
      <w:pPr>
        <w:spacing w:after="1200"/>
        <w:jc w:val="center"/>
        <w:rPr>
          <w:rFonts w:hint="default" w:cs="Arial"/>
          <w:sz w:val="22"/>
          <w:szCs w:val="22"/>
          <w:lang w:val="en-US"/>
        </w:rPr>
      </w:pPr>
      <w:r>
        <w:rPr>
          <w:rFonts w:ascii="Arial" w:hAnsi="Arial" w:eastAsia="Arial" w:cs="Arial"/>
          <w:sz w:val="22"/>
          <w:szCs w:val="22"/>
        </w:rPr>
        <w:t>CC 13731091  ·  NIF 254048382
Rua da Palmeira, n.º 31, 4.º andar, 1200-</w:t>
      </w:r>
      <w:r>
        <w:rPr>
          <w:rFonts w:hint="default" w:cs="Arial"/>
          <w:sz w:val="22"/>
          <w:szCs w:val="22"/>
          <w:lang w:val="en-US"/>
        </w:rPr>
        <w:t>311</w:t>
      </w:r>
    </w:p>
    <w:p w14:paraId="10593C7D">
      <w:pPr>
        <w:spacing w:after="1200"/>
        <w:jc w:val="center"/>
      </w:pPr>
      <w:bookmarkStart w:id="0" w:name="_GoBack"/>
      <w:bookmarkEnd w:id="0"/>
      <w:r>
        <w:rPr>
          <w:rFonts w:ascii="Arial" w:hAnsi="Arial" w:eastAsia="Arial" w:cs="Arial"/>
          <w:sz w:val="22"/>
          <w:szCs w:val="22"/>
        </w:rPr>
        <w:t>Lisboa</w:t>
      </w:r>
    </w:p>
    <w:p w14:paraId="5559304D">
      <w:pPr>
        <w:spacing w:after="240"/>
        <w:jc w:val="center"/>
      </w:pPr>
      <w:r>
        <w:rPr>
          <w:rFonts w:ascii="Arial" w:hAnsi="Arial" w:eastAsia="Arial" w:cs="Arial"/>
          <w:sz w:val="22"/>
          <w:szCs w:val="22"/>
        </w:rPr>
        <w:t>Lisboa, 5 de Maio de 2026</w:t>
      </w:r>
    </w:p>
    <w:p w14:paraId="4CE67361">
      <w:pPr>
        <w:spacing w:after="1200"/>
        <w:jc w:val="center"/>
      </w:pPr>
      <w:r>
        <w:rPr>
          <w:rFonts w:ascii="Arial" w:hAnsi="Arial" w:eastAsia="Arial" w:cs="Arial"/>
          <w:i/>
          <w:iCs/>
          <w:sz w:val="20"/>
          <w:szCs w:val="20"/>
        </w:rPr>
        <w:t>Versão 1.0 · Referência interna: DOSSIER-NMSD-EP-2026-001</w:t>
      </w:r>
    </w:p>
    <w:p w14:paraId="016406F5">
      <w:pPr>
        <w:pageBreakBefore/>
      </w:pPr>
    </w:p>
    <w:p w14:paraId="6F5D8DF0">
      <w:pPr>
        <w:pStyle w:val="2"/>
        <w:spacing w:before="360" w:after="200"/>
      </w:pPr>
      <w:r>
        <w:rPr>
          <w:rFonts w:ascii="Arial" w:hAnsi="Arial" w:eastAsia="Arial" w:cs="Arial"/>
          <w:b/>
          <w:bCs/>
          <w:sz w:val="28"/>
          <w:szCs w:val="28"/>
        </w:rPr>
        <w:t>Índice</w:t>
      </w:r>
    </w:p>
    <w:p w14:paraId="2E1C1ED3">
      <w:pPr>
        <w:spacing w:after="120" w:line="276" w:lineRule="auto"/>
        <w:jc w:val="both"/>
      </w:pPr>
      <w:r>
        <w:t>I. Nota introdutória e enquadramento metodológico</w:t>
      </w:r>
    </w:p>
    <w:p w14:paraId="61702B5E">
      <w:pPr>
        <w:spacing w:after="120" w:line="276" w:lineRule="auto"/>
        <w:jc w:val="both"/>
      </w:pPr>
      <w:r>
        <w:t>II. As oito melhorias — visão integrada</w:t>
      </w:r>
    </w:p>
    <w:p w14:paraId="3E29C7EE">
      <w:pPr>
        <w:spacing w:after="120" w:line="276" w:lineRule="auto"/>
        <w:jc w:val="both"/>
      </w:pPr>
      <w:r>
        <w:t>III. Eixo 1 — Reforço da eficiência processual</w:t>
      </w:r>
    </w:p>
    <w:p w14:paraId="59E83660">
      <w:pPr>
        <w:spacing w:after="120" w:line="276" w:lineRule="auto"/>
        <w:jc w:val="both"/>
      </w:pPr>
      <w:r>
        <w:t>IV. Eixo 2 — Sistema de bloqueio automático após indeferimento liminar</w:t>
      </w:r>
    </w:p>
    <w:p w14:paraId="353BE075">
      <w:pPr>
        <w:spacing w:after="120" w:line="276" w:lineRule="auto"/>
        <w:jc w:val="both"/>
      </w:pPr>
      <w:r>
        <w:t>V. Eixo 3 — Protocolo de citação verificável em tempo real</w:t>
      </w:r>
    </w:p>
    <w:p w14:paraId="15AC357B">
      <w:pPr>
        <w:spacing w:after="120" w:line="276" w:lineRule="auto"/>
        <w:jc w:val="both"/>
      </w:pPr>
      <w:r>
        <w:t>VI. Eixo 4 — Mecanismo de denúncia assistida (DIAP / IGAI)</w:t>
      </w:r>
    </w:p>
    <w:p w14:paraId="7FEEEC6D">
      <w:pPr>
        <w:spacing w:after="120" w:line="276" w:lineRule="auto"/>
        <w:jc w:val="both"/>
      </w:pPr>
      <w:r>
        <w:t>VII. Eixo 5 — Reabertura de questões processuais prejudicadas</w:t>
      </w:r>
    </w:p>
    <w:p w14:paraId="3F599F98">
      <w:pPr>
        <w:spacing w:after="120" w:line="276" w:lineRule="auto"/>
        <w:jc w:val="both"/>
      </w:pPr>
      <w:r>
        <w:t>VIII. Eixo 6 — Fiscalização efectiva dos Agentes de Execução</w:t>
      </w:r>
    </w:p>
    <w:p w14:paraId="25BDD618">
      <w:pPr>
        <w:spacing w:after="120" w:line="276" w:lineRule="auto"/>
        <w:jc w:val="both"/>
      </w:pPr>
      <w:r>
        <w:t>IX. Eixo 7 — Acesso efectivo a patrocínio em casos complexos</w:t>
      </w:r>
    </w:p>
    <w:p w14:paraId="3F1BFC4E">
      <w:pPr>
        <w:spacing w:after="120" w:line="276" w:lineRule="auto"/>
        <w:jc w:val="both"/>
      </w:pPr>
      <w:r>
        <w:t>X. Eixo 8 — Tratamento sistémico via TEDH (acórdão-piloto)</w:t>
      </w:r>
    </w:p>
    <w:p w14:paraId="467C78C1">
      <w:pPr>
        <w:spacing w:after="120" w:line="276" w:lineRule="auto"/>
        <w:jc w:val="both"/>
      </w:pPr>
      <w:r>
        <w:t>XI. Cronograma operacional integrado</w:t>
      </w:r>
    </w:p>
    <w:p w14:paraId="1CE48608">
      <w:pPr>
        <w:spacing w:after="120" w:line="276" w:lineRule="auto"/>
        <w:jc w:val="both"/>
      </w:pPr>
      <w:r>
        <w:t>XII. Lista exaustiva de provas e documentos</w:t>
      </w:r>
    </w:p>
    <w:p w14:paraId="45B13641">
      <w:pPr>
        <w:spacing w:after="120" w:line="276" w:lineRule="auto"/>
        <w:jc w:val="both"/>
      </w:pPr>
      <w:r>
        <w:t>XIII. Referências verificáveis (HUDOC, dgsi.pt, dre.pt, CEPEJ-STAT)</w:t>
      </w:r>
    </w:p>
    <w:p w14:paraId="463CD6F3">
      <w:pPr>
        <w:pageBreakBefore/>
      </w:pPr>
    </w:p>
    <w:p w14:paraId="76781B36">
      <w:pPr>
        <w:pStyle w:val="2"/>
        <w:spacing w:before="360" w:after="200"/>
      </w:pPr>
      <w:r>
        <w:rPr>
          <w:rFonts w:ascii="Arial" w:hAnsi="Arial" w:eastAsia="Arial" w:cs="Arial"/>
          <w:b/>
          <w:bCs/>
          <w:sz w:val="28"/>
          <w:szCs w:val="28"/>
        </w:rPr>
        <w:t>I.  Nota introdutória e enquadramento metodológico</w:t>
      </w:r>
    </w:p>
    <w:p w14:paraId="7C92184F">
      <w:pPr>
        <w:spacing w:after="140" w:line="276" w:lineRule="auto"/>
        <w:jc w:val="both"/>
      </w:pPr>
      <w:r>
        <w:rPr>
          <w:b/>
          <w:bCs/>
        </w:rPr>
        <w:t xml:space="preserve">§1.  </w:t>
      </w:r>
      <w:r>
        <w:t>O presente dossier sistematiza, em formato operacional, oito eixos de intervenção destinados a remediar o conjunto de irregularidades documentadas nos sete processos judiciais em que figura, como parte, Nuno Miguel Silva Duarte. O documento é simultaneamente: (i) instrumento de organização interna de prova; (ii) base de fundamentação para peças processuais autónomas; (iii) suporte documental à queixa individual ao Tribunal Europeu dos Direitos Humanos; e (iv) plano executável de mitigação imediata.</w:t>
      </w:r>
    </w:p>
    <w:p w14:paraId="456B79A7">
      <w:pPr>
        <w:spacing w:after="140" w:line="276" w:lineRule="auto"/>
        <w:jc w:val="both"/>
      </w:pPr>
      <w:r>
        <w:rPr>
          <w:b/>
          <w:bCs/>
        </w:rPr>
        <w:t xml:space="preserve">§2.  </w:t>
      </w:r>
      <w:r>
        <w:t>A escolha de oito eixos não é arbitrária. Resulta da decomposição analítica, segundo metodologia Six Sigma DMAIC (Define-Measure-Analyze-Improve-Control), do padrão sistémico de violação documentado. Cada eixo corresponde a uma dimensão funcional autónoma do sistema judicial cuja falha foi factualmente verificada e cuja remediação é tecnicamente possível.</w:t>
      </w:r>
    </w:p>
    <w:p w14:paraId="1CC51AC1">
      <w:pPr>
        <w:pStyle w:val="3"/>
        <w:spacing w:before="280" w:after="160"/>
      </w:pPr>
      <w:r>
        <w:rPr>
          <w:rFonts w:ascii="Arial" w:hAnsi="Arial" w:eastAsia="Arial" w:cs="Arial"/>
          <w:b/>
          <w:bCs/>
          <w:sz w:val="24"/>
          <w:szCs w:val="24"/>
        </w:rPr>
        <w:t>I.1  Critério de verificabilidade das fontes</w:t>
      </w:r>
    </w:p>
    <w:p w14:paraId="2A71B515">
      <w:pPr>
        <w:spacing w:after="140" w:line="276" w:lineRule="auto"/>
        <w:jc w:val="both"/>
      </w:pPr>
      <w:r>
        <w:rPr>
          <w:b/>
          <w:bCs/>
        </w:rPr>
        <w:t xml:space="preserve">§3.  </w:t>
      </w:r>
      <w:r>
        <w:t xml:space="preserve">Toda a jurisprudência citada neste dossier foi verificada em fontes primárias — base </w:t>
      </w:r>
      <w:r>
        <w:rPr>
          <w:b/>
          <w:bCs/>
        </w:rPr>
        <w:t>HUDOC</w:t>
      </w:r>
      <w:r>
        <w:t xml:space="preserve"> do Tribunal Europeu dos Direitos Humanos, </w:t>
      </w:r>
      <w:r>
        <w:rPr>
          <w:b/>
          <w:bCs/>
        </w:rPr>
        <w:t>dgsi.pt</w:t>
      </w:r>
      <w:r>
        <w:t xml:space="preserve"> para jurisprudência nacional, </w:t>
      </w:r>
      <w:r>
        <w:rPr>
          <w:b/>
          <w:bCs/>
        </w:rPr>
        <w:t>dre.pt</w:t>
      </w:r>
      <w:r>
        <w:t xml:space="preserve"> para legislação, </w:t>
      </w:r>
      <w:r>
        <w:rPr>
          <w:b/>
          <w:bCs/>
        </w:rPr>
        <w:t>CEPEJ-STAT</w:t>
      </w:r>
      <w:r>
        <w:t xml:space="preserve"> para indicadores comparativos, e </w:t>
      </w:r>
      <w:r>
        <w:rPr>
          <w:b/>
          <w:bCs/>
        </w:rPr>
        <w:t>Country Profile Portugal CEPEJ 2024</w:t>
      </w:r>
      <w:r>
        <w:t xml:space="preserve"> para dados estatísticos. Todas as citações são identificadas por número de queixa, data de acórdão, processo nacional e referência Citius, permitindo verificação independente.</w:t>
      </w:r>
    </w:p>
    <w:p w14:paraId="6941838C">
      <w:pPr>
        <w:pStyle w:val="3"/>
        <w:spacing w:before="280" w:after="160"/>
      </w:pPr>
      <w:r>
        <w:rPr>
          <w:rFonts w:ascii="Arial" w:hAnsi="Arial" w:eastAsia="Arial" w:cs="Arial"/>
          <w:b/>
          <w:bCs/>
          <w:sz w:val="24"/>
          <w:szCs w:val="24"/>
        </w:rPr>
        <w:t>I.2  Linguagem e princípios redactoriais</w:t>
      </w:r>
    </w:p>
    <w:p w14:paraId="4E17DAC7">
      <w:pPr>
        <w:spacing w:after="140" w:line="276" w:lineRule="auto"/>
        <w:jc w:val="both"/>
      </w:pPr>
      <w:r>
        <w:rPr>
          <w:b/>
          <w:bCs/>
        </w:rPr>
        <w:t xml:space="preserve">§4.  </w:t>
      </w:r>
      <w:r>
        <w:t>O dossier observa rigorosamente as regras de redacção aplicáveis a peças jurídicas portuguesas: linguagem cordial, institucional e factual; descredibilização exclusiva por factos, nunca por adjectivos; abstenção de qualificações conclusivas que cabem ao tribunal; e numeração contínua dos parágrafos. As pessoas singulares e colectivas mencionadas são identificadas por dados constantes dos autos, sem juízos de valor.</w:t>
      </w:r>
    </w:p>
    <w:p w14:paraId="01536AD6">
      <w:pPr>
        <w:pStyle w:val="3"/>
        <w:spacing w:before="280" w:after="160"/>
      </w:pPr>
      <w:r>
        <w:rPr>
          <w:rFonts w:ascii="Arial" w:hAnsi="Arial" w:eastAsia="Arial" w:cs="Arial"/>
          <w:b/>
          <w:bCs/>
          <w:sz w:val="24"/>
          <w:szCs w:val="24"/>
        </w:rPr>
        <w:t>I.3  Articulação com peças processuais autónomas</w:t>
      </w:r>
    </w:p>
    <w:p w14:paraId="054F1465">
      <w:pPr>
        <w:spacing w:after="140" w:line="276" w:lineRule="auto"/>
        <w:jc w:val="both"/>
      </w:pPr>
      <w:r>
        <w:rPr>
          <w:b/>
          <w:bCs/>
        </w:rPr>
        <w:t xml:space="preserve">§5.  </w:t>
      </w:r>
      <w:r>
        <w:t>Este dossier não substitui as peças processuais — antecede-as. Cada eixo gera, na fase de implementação, peça autónoma específica: requerimentos ao Juízo de Execução, recurso de Revista, queixa ao Provedor de Justiça, denúncia ao DIAP, reclamação à IGAI/IGSJ, queixa ao TEDH, comunicação à OSAE/CAAJ. O dossier funciona como camada de fundamentação comum a todas estas peças, garantindo coerência argumentativa e probatória.</w:t>
      </w:r>
    </w:p>
    <w:p w14:paraId="2CFA004B">
      <w:pPr>
        <w:pStyle w:val="2"/>
        <w:spacing w:before="360" w:after="200"/>
      </w:pPr>
      <w:r>
        <w:rPr>
          <w:rFonts w:ascii="Arial" w:hAnsi="Arial" w:eastAsia="Arial" w:cs="Arial"/>
          <w:b/>
          <w:bCs/>
          <w:sz w:val="28"/>
          <w:szCs w:val="28"/>
        </w:rPr>
        <w:t>II.  As oito melhorias — visão integrada</w:t>
      </w:r>
    </w:p>
    <w:p w14:paraId="2D73EAB6">
      <w:pPr>
        <w:spacing w:after="140" w:line="276" w:lineRule="auto"/>
        <w:jc w:val="both"/>
      </w:pPr>
      <w:r>
        <w:rPr>
          <w:b/>
          <w:bCs/>
        </w:rPr>
        <w:t xml:space="preserve">§6.  </w:t>
      </w:r>
      <w:r>
        <w:t>As oito melhorias estão organizadas em três níveis de actuação: (i) nível imediato, com efeitos no curto prazo (até 60 dias) sobre os processos em curso; (ii) nível institucional, com efeitos no médio prazo (6 a 18 meses) sobre os mecanismos de fiscalização; (iii) nível convencional, com efeitos no longo prazo (18 a 36 meses) através de queixa ao TEDH e supervisão pelo Comité de Ministros do Conselho da Europa.</w:t>
      </w:r>
    </w:p>
    <w:p w14:paraId="339DC2A3">
      <w:pPr>
        <w:pStyle w:val="3"/>
        <w:spacing w:before="280" w:after="160"/>
      </w:pPr>
      <w:r>
        <w:rPr>
          <w:rFonts w:ascii="Arial" w:hAnsi="Arial" w:eastAsia="Arial" w:cs="Arial"/>
          <w:b/>
          <w:bCs/>
          <w:sz w:val="24"/>
          <w:szCs w:val="24"/>
        </w:rPr>
        <w:t>II.1  Quadro-resumo dos oito eixos</w:t>
      </w:r>
    </w:p>
    <w:p w14:paraId="33064209">
      <w:pPr>
        <w:spacing w:after="120" w:line="276" w:lineRule="auto"/>
        <w:jc w:val="both"/>
      </w:pPr>
      <w:r>
        <w:rPr>
          <w:b/>
          <w:bCs/>
        </w:rPr>
        <w:t xml:space="preserve">Eixo 1 — Reforço da Eficiência Processual. </w:t>
      </w:r>
      <w:r>
        <w:t>Diagnóstico transversal das três camadas de falha (registo/notificação, decisão judicial, execução coerciva) e definição de indicadores objectivos de medição. Nível: imediato + institucional.</w:t>
      </w:r>
    </w:p>
    <w:p w14:paraId="5CBA0588">
      <w:pPr>
        <w:spacing w:after="120" w:line="276" w:lineRule="auto"/>
        <w:jc w:val="both"/>
      </w:pPr>
      <w:r>
        <w:rPr>
          <w:b/>
          <w:bCs/>
        </w:rPr>
        <w:t xml:space="preserve">Eixo 2 — Sistema de bloqueio automático após indeferimento liminar. </w:t>
      </w:r>
      <w:r>
        <w:t>Proposta técnica de integração entre Citius e sistemas de gestão de Agentes de Execução, gerando bloqueio automático imediato após despacho de indeferimento liminar com fundamento em inexistência de título. Nível: institucional.</w:t>
      </w:r>
    </w:p>
    <w:p w14:paraId="66F15306">
      <w:pPr>
        <w:spacing w:after="120" w:line="276" w:lineRule="auto"/>
        <w:jc w:val="both"/>
      </w:pPr>
      <w:r>
        <w:rPr>
          <w:b/>
          <w:bCs/>
        </w:rPr>
        <w:t xml:space="preserve">Eixo 3 — Protocolo de citação verificável em tempo real. </w:t>
      </w:r>
      <w:r>
        <w:t>Substituição do regime actual de citação postal e em terceira pessoa por sistema de verificação digital com QR Code, geolocalização, hash e prazo automático. Nível: institucional.</w:t>
      </w:r>
    </w:p>
    <w:p w14:paraId="1F1CFBA7">
      <w:pPr>
        <w:spacing w:after="120" w:line="276" w:lineRule="auto"/>
        <w:jc w:val="both"/>
      </w:pPr>
      <w:r>
        <w:rPr>
          <w:b/>
          <w:bCs/>
        </w:rPr>
        <w:t xml:space="preserve">Eixo 4 — Mecanismo de denúncia assistida (DIAP / IGAI). </w:t>
      </w:r>
      <w:r>
        <w:t>Submissão directa, criptografada, com hash SHA-256 e número de protocolo instantâneo, eliminando a discricionariedade do agente receptor. Nível: institucional.</w:t>
      </w:r>
    </w:p>
    <w:p w14:paraId="4F992E5A">
      <w:pPr>
        <w:spacing w:after="120" w:line="276" w:lineRule="auto"/>
        <w:jc w:val="both"/>
      </w:pPr>
      <w:r>
        <w:rPr>
          <w:b/>
          <w:bCs/>
        </w:rPr>
        <w:t xml:space="preserve">Eixo 5 — Reabertura de questões processuais prejudicadas. </w:t>
      </w:r>
      <w:r>
        <w:t>Mecanismo legal e técnico de reapreciação de questões declaradas prejudicadas com fundamento em afirmação factualmente desmentida pelos próprios autos. Nível: imediato.</w:t>
      </w:r>
    </w:p>
    <w:p w14:paraId="605C9F71">
      <w:pPr>
        <w:spacing w:after="120" w:line="276" w:lineRule="auto"/>
        <w:jc w:val="both"/>
      </w:pPr>
      <w:r>
        <w:rPr>
          <w:b/>
          <w:bCs/>
        </w:rPr>
        <w:t xml:space="preserve">Eixo 6 — Fiscalização efectiva dos Agentes de Execução. </w:t>
      </w:r>
      <w:r>
        <w:t>Reforço dos poderes de fiscalização da OSAE/CAAJ, do tribunal e do Conselho Superior da Magistratura sobre actos do Agente de Execução, com auditoria automática em casos de manutenção de penhoras após despacho de cessação. Nível: institucional.</w:t>
      </w:r>
    </w:p>
    <w:p w14:paraId="5AFDC760">
      <w:pPr>
        <w:spacing w:after="120" w:line="276" w:lineRule="auto"/>
        <w:jc w:val="both"/>
      </w:pPr>
      <w:r>
        <w:rPr>
          <w:b/>
          <w:bCs/>
        </w:rPr>
        <w:t xml:space="preserve">Eixo 7 — Acesso efectivo a patrocínio em casos complexos. </w:t>
      </w:r>
      <w:r>
        <w:t>Instituição de mecanismo subsidiário de patrocínio em casos de impossibilidade documentada de constituição de mandatário, com reforço da remuneração no apoio judiciário. Nível: imediato + institucional.</w:t>
      </w:r>
    </w:p>
    <w:p w14:paraId="3B567DBA">
      <w:pPr>
        <w:spacing w:after="120" w:line="276" w:lineRule="auto"/>
        <w:jc w:val="both"/>
      </w:pPr>
      <w:r>
        <w:rPr>
          <w:b/>
          <w:bCs/>
        </w:rPr>
        <w:t xml:space="preserve">Eixo 8 — Tratamento sistémico via TEDH (acórdão-piloto). </w:t>
      </w:r>
      <w:r>
        <w:t>Submissão de queixa individual ao TEDH com pedido subsidiário de identificação de problema sistémico nos termos do art. 46.º § 1 da Convenção, à luz da doutrina Broniowski/Rutkowski. Nível: convencional.</w:t>
      </w:r>
    </w:p>
    <w:p w14:paraId="750A450F">
      <w:pPr>
        <w:pageBreakBefore/>
      </w:pPr>
    </w:p>
    <w:p w14:paraId="17B068BB">
      <w:pPr>
        <w:pStyle w:val="2"/>
        <w:spacing w:before="360" w:after="200"/>
      </w:pPr>
      <w:r>
        <w:rPr>
          <w:rFonts w:ascii="Arial" w:hAnsi="Arial" w:eastAsia="Arial" w:cs="Arial"/>
          <w:b/>
          <w:bCs/>
          <w:sz w:val="28"/>
          <w:szCs w:val="28"/>
        </w:rPr>
        <w:t>III.  Eixo 1 — Reforço da Eficiência Processual</w:t>
      </w:r>
    </w:p>
    <w:p w14:paraId="130A7834">
      <w:pPr>
        <w:pStyle w:val="3"/>
        <w:spacing w:before="280" w:after="160"/>
      </w:pPr>
      <w:r>
        <w:rPr>
          <w:rFonts w:ascii="Arial" w:hAnsi="Arial" w:eastAsia="Arial" w:cs="Arial"/>
          <w:b/>
          <w:bCs/>
          <w:sz w:val="24"/>
          <w:szCs w:val="24"/>
        </w:rPr>
        <w:t>III.1  Diagnóstico</w:t>
      </w:r>
    </w:p>
    <w:p w14:paraId="54EAAE27">
      <w:pPr>
        <w:spacing w:after="140" w:line="276" w:lineRule="auto"/>
        <w:jc w:val="both"/>
      </w:pPr>
      <w:r>
        <w:rPr>
          <w:b/>
          <w:bCs/>
        </w:rPr>
        <w:t xml:space="preserve">§7.  </w:t>
      </w:r>
      <w:r>
        <w:t>A eficiência processual não é, no ordenamento jurídico português, indicador de desempenho administrativo. É exigência constitucional e convencional, com tradução directa em obrigações positivas do Estado. O art. 20.º, n.º 4, da Constituição da República Portuguesa, determina que «todos têm direito a que uma causa em que intervenham seja objecto de decisão em prazo razoável e mediante processo equitativo». O Tribunal Constitucional, no Acórdão n.º 86/88, fixou a doutrina segundo a qual o direito de acesso aos tribunais é, entre o mais, o direito a uma solução jurídica dos conflitos a que se deve chegar em prazo razoável e com observância das garantias de imparcialidade e independência.</w:t>
      </w:r>
    </w:p>
    <w:p w14:paraId="69E22F96">
      <w:pPr>
        <w:spacing w:after="140" w:line="276" w:lineRule="auto"/>
        <w:jc w:val="both"/>
      </w:pPr>
      <w:r>
        <w:rPr>
          <w:b/>
          <w:bCs/>
        </w:rPr>
        <w:t xml:space="preserve">§8.  </w:t>
      </w:r>
      <w:r>
        <w:t xml:space="preserve">No plano convencional, o art. 6.º § 1 da Convenção Europeia dos Direitos do Homem consagra o direito ao processo equitativo em prazo razoável. A jurisprudência consolidada do TEDH (a partir de </w:t>
      </w:r>
      <w:r>
        <w:rPr>
          <w:i/>
          <w:iCs/>
        </w:rPr>
        <w:t>Frydlender c. França</w:t>
      </w:r>
      <w:r>
        <w:t xml:space="preserve"> [GC], queixa n.º 30979/96, acórdão de 27 de Junho de 2000, § 43) fixa quatro critérios cumulativos para a apreciação do prazo razoável: complexidade do caso, conduta do queixoso, conduta das autoridades e importância do litígio para o queixoso.</w:t>
      </w:r>
    </w:p>
    <w:p w14:paraId="5BAA7837">
      <w:pPr>
        <w:pStyle w:val="3"/>
        <w:spacing w:before="280" w:after="160"/>
      </w:pPr>
      <w:r>
        <w:rPr>
          <w:rFonts w:ascii="Arial" w:hAnsi="Arial" w:eastAsia="Arial" w:cs="Arial"/>
          <w:b/>
          <w:bCs/>
          <w:sz w:val="24"/>
          <w:szCs w:val="24"/>
        </w:rPr>
        <w:t>III.2  Indicadores objectivos de medição</w:t>
      </w:r>
    </w:p>
    <w:p w14:paraId="0FD0E928">
      <w:pPr>
        <w:spacing w:after="140" w:line="276" w:lineRule="auto"/>
        <w:jc w:val="both"/>
      </w:pPr>
      <w:r>
        <w:rPr>
          <w:b/>
          <w:bCs/>
        </w:rPr>
        <w:t xml:space="preserve">§9.  </w:t>
      </w:r>
      <w:r>
        <w:t>Para a aferição quantitativa da falha de eficiência, o presente dossier adopta os indicadores definidos pela Comissão Europeia para a Eficiência da Justiça (CEPEJ), em particular Disposition Time (tempo médio de duração) e Clearance Rate (taxa de resolução). Aplicação aos processos em causa:</w:t>
      </w:r>
    </w:p>
    <w:p w14:paraId="477D3ABB">
      <w:pPr>
        <w:pStyle w:val="16"/>
        <w:numPr>
          <w:ilvl w:val="0"/>
          <w:numId w:val="1"/>
        </w:numPr>
        <w:spacing w:after="80" w:line="276" w:lineRule="auto"/>
        <w:jc w:val="both"/>
      </w:pPr>
      <w:r>
        <w:rPr>
          <w:b/>
          <w:bCs/>
        </w:rPr>
        <w:t xml:space="preserve">Processo 23142/22.7T8LSB e respectivo recurso .L1 (Centenário): </w:t>
      </w:r>
      <w:r>
        <w:t>Disposition Time efectivo de 41 meses, entre propositura em 4 de Outubro de 2022 e acórdão final do TRL em 19 de Março de 2026, para execução sumária com indeferimento liminar. Mediana europeia para execuções equiparáveis: 6 a 12 meses. Desvio: superior a 350% face à mediana CEPEJ.</w:t>
      </w:r>
    </w:p>
    <w:p w14:paraId="3BD1278B">
      <w:pPr>
        <w:pStyle w:val="16"/>
        <w:numPr>
          <w:ilvl w:val="0"/>
          <w:numId w:val="1"/>
        </w:numPr>
        <w:spacing w:after="80" w:line="276" w:lineRule="auto"/>
        <w:jc w:val="both"/>
      </w:pPr>
      <w:r>
        <w:rPr>
          <w:b/>
          <w:bCs/>
        </w:rPr>
        <w:t xml:space="preserve">Processo 3719/25.0T8LSB e respectivo recurso .L1 (Teresa Ribeiro): </w:t>
      </w:r>
      <w:r>
        <w:t>Disposition Time de 14 meses entre Fevereiro de 2025 e Abril de 2026 para procedimento cautelar de duas instâncias. Mediana europeia para cautelares: 3 a 6 meses. Desvio: superior a 200% face à mediana CEPEJ.</w:t>
      </w:r>
    </w:p>
    <w:p w14:paraId="6580E28B">
      <w:pPr>
        <w:pStyle w:val="16"/>
        <w:numPr>
          <w:ilvl w:val="0"/>
          <w:numId w:val="1"/>
        </w:numPr>
        <w:spacing w:after="80" w:line="276" w:lineRule="auto"/>
        <w:jc w:val="both"/>
      </w:pPr>
      <w:r>
        <w:rPr>
          <w:b/>
          <w:bCs/>
        </w:rPr>
        <w:t xml:space="preserve">Indicador agregado dos sete processos: </w:t>
      </w:r>
      <w:r>
        <w:t>acumulação temporal entre Outubro de 2022 e Maio de 2026 (≈ 43 meses) em que o queixoso teve simultaneamente sete frentes processuais activas, em três jurisdições (judicial cível, executiva, fiscal e laboral), sem possibilidade efectiva de defesa coordenada por impossibilidade documentada de constituição de mandatário.</w:t>
      </w:r>
    </w:p>
    <w:p w14:paraId="25075D8E">
      <w:pPr>
        <w:pStyle w:val="3"/>
        <w:spacing w:before="280" w:after="160"/>
      </w:pPr>
      <w:r>
        <w:rPr>
          <w:rFonts w:ascii="Arial" w:hAnsi="Arial" w:eastAsia="Arial" w:cs="Arial"/>
          <w:b/>
          <w:bCs/>
          <w:sz w:val="24"/>
          <w:szCs w:val="24"/>
        </w:rPr>
        <w:t>III.3  Jurisprudência TEDH directamente aplicável a Portugal</w:t>
      </w:r>
    </w:p>
    <w:p w14:paraId="24AF844F">
      <w:pPr>
        <w:spacing w:after="140" w:line="276" w:lineRule="auto"/>
        <w:jc w:val="both"/>
      </w:pPr>
      <w:r>
        <w:rPr>
          <w:b/>
          <w:bCs/>
        </w:rPr>
        <w:t xml:space="preserve">§10.  </w:t>
      </w:r>
      <w:r>
        <w:rPr>
          <w:i/>
          <w:iCs/>
        </w:rPr>
        <w:t>Carreto Ribeiro c. Portugal</w:t>
      </w:r>
      <w:r>
        <w:t xml:space="preserve"> (queixa n.º 20075/21, acórdão da 4.ª Secção, Comité, de 25 de Abril de 2024). Violação cumulativa dos arts. 6.º § 1 e 13.º CEDH. O TEDH considerou excessiva uma duração de cerca de seis anos em processo cível e julgou procedente a queixa de inexistência de recurso interno efectivo, mantendo viva a censura ao sistema português apesar da evolução jurisprudencial pós-</w:t>
      </w:r>
      <w:r>
        <w:rPr>
          <w:i/>
          <w:iCs/>
        </w:rPr>
        <w:t>Valada Matos das Neves</w:t>
      </w:r>
      <w:r>
        <w:t xml:space="preserve"> (2015). Compensações fixadas em €3.300 a cada queixoso.</w:t>
      </w:r>
    </w:p>
    <w:p w14:paraId="057876A0">
      <w:pPr>
        <w:spacing w:after="140" w:line="276" w:lineRule="auto"/>
        <w:jc w:val="both"/>
      </w:pPr>
      <w:r>
        <w:rPr>
          <w:b/>
          <w:bCs/>
        </w:rPr>
        <w:t xml:space="preserve">§11.  </w:t>
      </w:r>
      <w:r>
        <w:rPr>
          <w:i/>
          <w:iCs/>
        </w:rPr>
        <w:t>Oliveira Modesto e Outros c. Portugal</w:t>
      </w:r>
      <w:r>
        <w:t xml:space="preserve"> (queixa n.º 68445/10, acórdão da 4.ª Secção, Comité, de 29 de Janeiro de 2019). Violação do art. 6.º § 1 (prazo razoável em processo civil). O Comité de Ministros, na supervisão da execução, identificou expressamente este processo como permanecendo por encerrar à data em que outros 25 processos da mesma família já tinham sido considerados executados.</w:t>
      </w:r>
    </w:p>
    <w:p w14:paraId="107442BB">
      <w:pPr>
        <w:spacing w:after="140" w:line="276" w:lineRule="auto"/>
        <w:jc w:val="both"/>
      </w:pPr>
      <w:r>
        <w:rPr>
          <w:b/>
          <w:bCs/>
        </w:rPr>
        <w:t xml:space="preserve">§12.  </w:t>
      </w:r>
      <w:r>
        <w:rPr>
          <w:i/>
          <w:iCs/>
        </w:rPr>
        <w:t>Comingersoll S.A. c. Portugal</w:t>
      </w:r>
      <w:r>
        <w:t xml:space="preserve"> [GC] (queixa n.º 35382/97, acórdão de 6 de Abril de 2000). Doutrina‑pivô sobre o dever do Estado de organizar o seu sistema judicial de modo a permitir que os tribunais cumpram em todos os casos a exigência de uma decisão em prazo razoável, com aplicabilidade transversal aos sete processos identificados.</w:t>
      </w:r>
    </w:p>
    <w:p w14:paraId="6FAC318B">
      <w:pPr>
        <w:pStyle w:val="3"/>
        <w:spacing w:before="280" w:after="160"/>
      </w:pPr>
      <w:r>
        <w:rPr>
          <w:rFonts w:ascii="Arial" w:hAnsi="Arial" w:eastAsia="Arial" w:cs="Arial"/>
          <w:b/>
          <w:bCs/>
          <w:sz w:val="24"/>
          <w:szCs w:val="24"/>
        </w:rPr>
        <w:t>III.4  Indicadores institucionais</w:t>
      </w:r>
    </w:p>
    <w:p w14:paraId="22C870BB">
      <w:pPr>
        <w:spacing w:after="140" w:line="276" w:lineRule="auto"/>
        <w:jc w:val="both"/>
      </w:pPr>
      <w:r>
        <w:rPr>
          <w:b/>
          <w:bCs/>
        </w:rPr>
        <w:t xml:space="preserve">§13.  </w:t>
      </w:r>
      <w:r>
        <w:t xml:space="preserve">O Country Profile CEPEJ 2024 (dados de 2022) regista, para Portugal: Disposition Time na 2.ª instância administrativa de </w:t>
      </w:r>
      <w:r>
        <w:rPr>
          <w:b/>
          <w:bCs/>
        </w:rPr>
        <w:t>1.064 dias</w:t>
      </w:r>
      <w:r>
        <w:t xml:space="preserve"> — descrito no relatório como «more than five times the CoE median»; Clearance Rate na 2.ª instância administrativa de </w:t>
      </w:r>
      <w:r>
        <w:rPr>
          <w:b/>
          <w:bCs/>
        </w:rPr>
        <w:t>78,4%</w:t>
      </w:r>
      <w:r>
        <w:t xml:space="preserve"> — o pior registo da matriz CdE. Em 1.ª instância administrativa, 747 dias. O EU Justice Scoreboard 2025 confirma deterioração: 1.200 dias na 2.ª instância administrativa em 2023.</w:t>
      </w:r>
    </w:p>
    <w:p w14:paraId="7DD9629F">
      <w:pPr>
        <w:spacing w:after="140" w:line="276" w:lineRule="auto"/>
        <w:jc w:val="both"/>
      </w:pPr>
      <w:r>
        <w:rPr>
          <w:b/>
          <w:bCs/>
        </w:rPr>
        <w:t xml:space="preserve">§14.  </w:t>
      </w:r>
      <w:r>
        <w:t>O 2025 Rule of Law Report — Country Chapter Portugal (SWD(2025) 922 final, de 8 de Julho de 2025) regista expressamente, na p. 7, que «Portugal remains under enhanced supervision by the Committee of Ministers of the Council of Europe for the excessive length of proceedings before both civil and administrative jurisdictions» — supervisão reforçada que, à data deste dossier, mantém-se activa.</w:t>
      </w:r>
    </w:p>
    <w:p w14:paraId="6E62EAB7">
      <w:pPr>
        <w:pStyle w:val="3"/>
        <w:spacing w:before="280" w:after="160"/>
      </w:pPr>
      <w:r>
        <w:rPr>
          <w:rFonts w:ascii="Arial" w:hAnsi="Arial" w:eastAsia="Arial" w:cs="Arial"/>
          <w:b/>
          <w:bCs/>
          <w:sz w:val="24"/>
          <w:szCs w:val="24"/>
        </w:rPr>
        <w:t>III.5  Acção operacional concreta</w:t>
      </w:r>
    </w:p>
    <w:p w14:paraId="5BBFD9C1">
      <w:pPr>
        <w:spacing w:after="120" w:line="276" w:lineRule="auto"/>
        <w:jc w:val="both"/>
      </w:pPr>
      <w:r>
        <w:rPr>
          <w:b/>
          <w:bCs/>
        </w:rPr>
        <w:t xml:space="preserve">Acção 1.1. </w:t>
      </w:r>
      <w:r>
        <w:t>Construção de cronologia exaustiva de cada um dos sete processos, com identificação de todos os períodos de inércia processual e respectiva imputação (tribunal, AE, AT, contraparte, queixoso). Período de execução: 30 dias.</w:t>
      </w:r>
    </w:p>
    <w:p w14:paraId="43B3B572">
      <w:pPr>
        <w:spacing w:after="120" w:line="276" w:lineRule="auto"/>
        <w:jc w:val="both"/>
      </w:pPr>
      <w:r>
        <w:rPr>
          <w:b/>
          <w:bCs/>
        </w:rPr>
        <w:t xml:space="preserve">Acção 1.2. </w:t>
      </w:r>
      <w:r>
        <w:t>Cálculo, para cada processo, de Disposition Time efectivo, comparado com mediana CEPEJ para o tipo processual equivalente, e cálculo do desvio percentual. Resultado: tabela única de indicadores quantitativos.</w:t>
      </w:r>
    </w:p>
    <w:p w14:paraId="6C839764">
      <w:pPr>
        <w:spacing w:after="120" w:line="276" w:lineRule="auto"/>
        <w:jc w:val="both"/>
      </w:pPr>
      <w:r>
        <w:rPr>
          <w:b/>
          <w:bCs/>
        </w:rPr>
        <w:t xml:space="preserve">Acção 1.3. </w:t>
      </w:r>
      <w:r>
        <w:t>Identificação, em cada processo, dos parágrafos das peças do queixoso em que foi invocada substantivamente a violação do art. 6.º § 1 CEDH e do art. 20.º CRP, para cumprimento do princípio Gäfgen sobre invocação substantiva.</w:t>
      </w:r>
    </w:p>
    <w:p w14:paraId="4A2ED9AD">
      <w:pPr>
        <w:spacing w:after="120" w:line="276" w:lineRule="auto"/>
        <w:jc w:val="both"/>
      </w:pPr>
      <w:r>
        <w:rPr>
          <w:b/>
          <w:bCs/>
        </w:rPr>
        <w:t xml:space="preserve">Acção 1.4. </w:t>
      </w:r>
      <w:r>
        <w:t>Análise comparada da posição de Portugal nos rankings CEPEJ 2024, EU Justice Scoreboard 2025 e WJP Rule of Law Index 2024, com identificação dos sub-indicadores em que o desvio é mais acentuado.</w:t>
      </w:r>
    </w:p>
    <w:p w14:paraId="4B290969">
      <w:pPr>
        <w:pageBreakBefore/>
      </w:pPr>
    </w:p>
    <w:p w14:paraId="7C60D567">
      <w:pPr>
        <w:pStyle w:val="2"/>
        <w:spacing w:before="360" w:after="200"/>
      </w:pPr>
      <w:r>
        <w:rPr>
          <w:rFonts w:ascii="Arial" w:hAnsi="Arial" w:eastAsia="Arial" w:cs="Arial"/>
          <w:b/>
          <w:bCs/>
          <w:sz w:val="28"/>
          <w:szCs w:val="28"/>
        </w:rPr>
        <w:t>IV.  Eixo 2 — Sistema de bloqueio automático após indeferimento liminar</w:t>
      </w:r>
    </w:p>
    <w:p w14:paraId="4A03868D">
      <w:pPr>
        <w:pStyle w:val="3"/>
        <w:spacing w:before="280" w:after="160"/>
      </w:pPr>
      <w:r>
        <w:rPr>
          <w:rFonts w:ascii="Arial" w:hAnsi="Arial" w:eastAsia="Arial" w:cs="Arial"/>
          <w:b/>
          <w:bCs/>
          <w:sz w:val="24"/>
          <w:szCs w:val="24"/>
        </w:rPr>
        <w:t>IV.1  Diagnóstico</w:t>
      </w:r>
    </w:p>
    <w:p w14:paraId="49EA2BF6">
      <w:pPr>
        <w:spacing w:after="140" w:line="276" w:lineRule="auto"/>
        <w:jc w:val="both"/>
      </w:pPr>
      <w:r>
        <w:rPr>
          <w:b/>
          <w:bCs/>
        </w:rPr>
        <w:t xml:space="preserve">§15.  </w:t>
      </w:r>
      <w:r>
        <w:t>No P_23142, o despacho do Juízo de Execução de Lisboa de 16 de Março de 2023 (ref. Citius 419855940) declarou inexistência de título executivo bastante e indeferiu liminarmente o requerimento executivo. Esta decisão tem natureza definitiva: o recurso interposto pela Centenário Unipessoal, Lda. foi admitido com efeito meramente devolutivo (art. 647.º, n.º 1, CPC), pelo que a decisão manteve plena eficácia durante toda a tramitação subsequente.</w:t>
      </w:r>
    </w:p>
    <w:p w14:paraId="2943EFBB">
      <w:pPr>
        <w:spacing w:after="140" w:line="276" w:lineRule="auto"/>
        <w:jc w:val="both"/>
      </w:pPr>
      <w:r>
        <w:rPr>
          <w:b/>
          <w:bCs/>
        </w:rPr>
        <w:t xml:space="preserve">§16.  </w:t>
      </w:r>
      <w:r>
        <w:t>Apesar deste quadro jurídico, entre 13 de Outubro de 2023 e 21 de Abril de 2025 — sete meses a vinte e cinco meses após o indeferimento liminar — foram realizadas múltiplas pedidos de penhora electrónica, retenções salariais, bloqueios bancários totais e apreensão de bem móvel (motociclo Suzuki RM-Z250, Doc. 127654/2024). O valor global das constrições documentadas excede €98.000,00, em quantia que ultrapassa em mais de três vezes o valor de €31.855,00 indicado no requerimento executivo originário.</w:t>
      </w:r>
    </w:p>
    <w:p w14:paraId="42E35C5B">
      <w:pPr>
        <w:spacing w:after="140" w:line="276" w:lineRule="auto"/>
        <w:jc w:val="both"/>
      </w:pPr>
      <w:r>
        <w:rPr>
          <w:b/>
          <w:bCs/>
        </w:rPr>
        <w:t xml:space="preserve">§17.  </w:t>
      </w:r>
      <w:r>
        <w:t>Em 9 de Julho de 2024 (ref. 436992744), o tribunal a quo proferiu despacho ordenando à Senhora Agente de Execução que se abstivesse de novas diligências executivas. Apesar deste despacho judicial expresso, em 21 de Abril de 2025 — nove meses depois — foi iniciada penhora contínua de rendimentos do trabalho. A Senhora Agente de Execução havia, em ofício de 20 de Setembro de 2024 (ref. 437217551), reconhecido por escrito a omissão de elementos obrigatórios do acto de citação.</w:t>
      </w:r>
    </w:p>
    <w:p w14:paraId="379AE794">
      <w:pPr>
        <w:pStyle w:val="3"/>
        <w:spacing w:before="280" w:after="160"/>
      </w:pPr>
      <w:r>
        <w:rPr>
          <w:rFonts w:ascii="Arial" w:hAnsi="Arial" w:eastAsia="Arial" w:cs="Arial"/>
          <w:b/>
          <w:bCs/>
          <w:sz w:val="24"/>
          <w:szCs w:val="24"/>
        </w:rPr>
        <w:t>IV.2  Jurisprudência TEDH directamente aplicável</w:t>
      </w:r>
    </w:p>
    <w:p w14:paraId="0E6ADEFB">
      <w:pPr>
        <w:spacing w:after="140" w:line="276" w:lineRule="auto"/>
        <w:jc w:val="both"/>
      </w:pPr>
      <w:r>
        <w:rPr>
          <w:b/>
          <w:bCs/>
        </w:rPr>
        <w:t xml:space="preserve">§18.  </w:t>
      </w:r>
      <w:r>
        <w:rPr>
          <w:i/>
          <w:iCs/>
        </w:rPr>
        <w:t>Hornsby c. Grécia</w:t>
      </w:r>
      <w:r>
        <w:t xml:space="preserve"> (queixa n.º 18357/91, acórdão de 19 de Março de 1997, § 40). Doutrina-pivô: «a execução de uma sentença proferida por qualquer tribunal deve ser considerada parte integrante do processo para efeitos do artigo 6.º. Sem isto, o direito de acesso ao tribunal seria ilusório se a ordem jurídica interna de um Estado contratante permitisse que uma decisão judicial definitiva e vinculativa se tornasse inoperante em prejuízo de uma das partes». Aplicação simétrica e inversa: a manutenção de actos executivos sobre título declarado judicialmente inexistente é, igualmente, violação do art. 6.º.</w:t>
      </w:r>
    </w:p>
    <w:p w14:paraId="781AABCE">
      <w:pPr>
        <w:spacing w:after="140" w:line="276" w:lineRule="auto"/>
        <w:jc w:val="both"/>
      </w:pPr>
      <w:r>
        <w:rPr>
          <w:b/>
          <w:bCs/>
        </w:rPr>
        <w:t xml:space="preserve">§19.  </w:t>
      </w:r>
      <w:r>
        <w:rPr>
          <w:i/>
          <w:iCs/>
        </w:rPr>
        <w:t>Burdov c. Rússia (n.º 2)</w:t>
      </w:r>
      <w:r>
        <w:t xml:space="preserve"> (queixa n.º 33509/04, acórdão de 15 de Janeiro de 2009 — acórdão-piloto). Identifica como factores relevantes para a apreciação convencional da execução: (i) complexidade da execução, (ii) comportamento do exequente e do executado, (iii) valor e natureza do crédito, especialmente quando este constitui possession na acepção do art. 1.º P1.</w:t>
      </w:r>
    </w:p>
    <w:p w14:paraId="75D64B31">
      <w:pPr>
        <w:spacing w:after="140" w:line="276" w:lineRule="auto"/>
        <w:jc w:val="both"/>
      </w:pPr>
      <w:r>
        <w:rPr>
          <w:b/>
          <w:bCs/>
        </w:rPr>
        <w:t xml:space="preserve">§20.  </w:t>
      </w:r>
      <w:r>
        <w:rPr>
          <w:i/>
          <w:iCs/>
        </w:rPr>
        <w:t>Terebus c. Portugal</w:t>
      </w:r>
      <w:r>
        <w:t xml:space="preserve"> (queixa n.º 5238/10, acórdão de 10 de Abril de 2014). Aplicação directa a Portugal: violação do art. 6.º § 1 fundada na falta de diligência do solicitador de execução e no não afastamento do mesmo pelo tribunal de execução, apesar dos poderes que tal afastamento permitia. O TEDH imputa ao Estado os atrasos atribuíveis ao Agente de Execução, mesmo quando este é profissional liberal.</w:t>
      </w:r>
    </w:p>
    <w:p w14:paraId="75A638C3">
      <w:pPr>
        <w:pStyle w:val="3"/>
        <w:spacing w:before="280" w:after="160"/>
      </w:pPr>
      <w:r>
        <w:rPr>
          <w:rFonts w:ascii="Arial" w:hAnsi="Arial" w:eastAsia="Arial" w:cs="Arial"/>
          <w:b/>
          <w:bCs/>
          <w:sz w:val="24"/>
          <w:szCs w:val="24"/>
        </w:rPr>
        <w:t>IV.3  Proposta técnica de bloqueio automático</w:t>
      </w:r>
    </w:p>
    <w:p w14:paraId="37EF7CE5">
      <w:pPr>
        <w:spacing w:after="140" w:line="276" w:lineRule="auto"/>
        <w:jc w:val="both"/>
      </w:pPr>
      <w:r>
        <w:rPr>
          <w:b/>
          <w:bCs/>
        </w:rPr>
        <w:t xml:space="preserve">§21.  </w:t>
      </w:r>
      <w:r>
        <w:t>A solução proposta opera em três camadas integradas:</w:t>
      </w:r>
    </w:p>
    <w:p w14:paraId="34CE58EF">
      <w:pPr>
        <w:spacing w:after="120" w:line="276" w:lineRule="auto"/>
        <w:jc w:val="both"/>
      </w:pPr>
      <w:r>
        <w:rPr>
          <w:b/>
          <w:bCs/>
        </w:rPr>
        <w:t xml:space="preserve">Camada 1 — Gatilho. </w:t>
      </w:r>
      <w:r>
        <w:t>Ao registar despacho de indeferimento liminar com fundamento em inexistência de título executivo (art. 726.º, n.º 2, alínea a), CPC), ou despacho de cessação de diligências, o sistema Citius gera automaticamente sinal de «execução suspensa» com código único de bloqueio.</w:t>
      </w:r>
    </w:p>
    <w:p w14:paraId="72516A54">
      <w:pPr>
        <w:spacing w:after="120" w:line="276" w:lineRule="auto"/>
        <w:jc w:val="both"/>
      </w:pPr>
      <w:r>
        <w:rPr>
          <w:b/>
          <w:bCs/>
        </w:rPr>
        <w:t xml:space="preserve">Camada 2 — Bloqueio operacional. </w:t>
      </w:r>
      <w:r>
        <w:t>Sinal transmitido em tempo real ao sistema de gestão dos Agentes de Execução. Qualquer tentativa de novo pedido de penhora electrónica é rejeitada com mensagem de erro identificadora do despacho judicial de bloqueio. Apenas autorização judicial específica e expressa pode levantar o bloqueio.</w:t>
      </w:r>
    </w:p>
    <w:p w14:paraId="144976B9">
      <w:pPr>
        <w:spacing w:after="120" w:line="276" w:lineRule="auto"/>
        <w:jc w:val="both"/>
      </w:pPr>
      <w:r>
        <w:rPr>
          <w:b/>
          <w:bCs/>
        </w:rPr>
        <w:t xml:space="preserve">Camada 3 — Notificação automática. </w:t>
      </w:r>
      <w:r>
        <w:t>Geração automática de notificação por email com cópia certificada para a AE, para o tribunal, para a OSAE/CAAJ e para o Conselho Superior da Magistratura, informando da suspensão e da responsabilidade civil/disciplinar/criminal decorrente de actos praticados em desrespeito do bloqueio.</w:t>
      </w:r>
    </w:p>
    <w:p w14:paraId="75D71DA1">
      <w:pPr>
        <w:pStyle w:val="3"/>
        <w:spacing w:before="280" w:after="160"/>
      </w:pPr>
      <w:r>
        <w:rPr>
          <w:rFonts w:ascii="Arial" w:hAnsi="Arial" w:eastAsia="Arial" w:cs="Arial"/>
          <w:b/>
          <w:bCs/>
          <w:sz w:val="24"/>
          <w:szCs w:val="24"/>
        </w:rPr>
        <w:t>IV.4  Acção operacional concreta</w:t>
      </w:r>
    </w:p>
    <w:p w14:paraId="24594E9B">
      <w:pPr>
        <w:spacing w:after="120" w:line="276" w:lineRule="auto"/>
        <w:jc w:val="both"/>
      </w:pPr>
      <w:r>
        <w:rPr>
          <w:b/>
          <w:bCs/>
        </w:rPr>
        <w:t xml:space="preserve">Acção 2.1. </w:t>
      </w:r>
      <w:r>
        <w:t>Apresentação de requerimento ao Juízo de Execução de Lisboa, ao abrigo do art. 734.º, n.º 1, CPC, peticionando: (a) anulação de todas as penhoras realizadas após 16 de Março de 2023; (b) restituição imediata dos valores e bens apreendidos, acrescida de juros legais; (c) instauração de incidente de litigância de má-fé contra a exequente. Período: 15 dias.</w:t>
      </w:r>
    </w:p>
    <w:p w14:paraId="71203AFE">
      <w:pPr>
        <w:spacing w:after="120" w:line="276" w:lineRule="auto"/>
        <w:jc w:val="both"/>
      </w:pPr>
      <w:r>
        <w:rPr>
          <w:b/>
          <w:bCs/>
        </w:rPr>
        <w:t xml:space="preserve">Acção 2.2. </w:t>
      </w:r>
      <w:r>
        <w:t>Comunicação à Ordem dos Solicitadores e Agentes de Execução (OSAE) — actual entidade reguladora — com remissão para o ofício da AE de 20 de Setembro de 2024 (ref. 437217551) e cronologia das diligências praticadas após o despacho de cessação de 9 de Julho de 2024.</w:t>
      </w:r>
    </w:p>
    <w:p w14:paraId="442E1447">
      <w:pPr>
        <w:spacing w:after="120" w:line="276" w:lineRule="auto"/>
        <w:jc w:val="both"/>
      </w:pPr>
      <w:r>
        <w:rPr>
          <w:b/>
          <w:bCs/>
        </w:rPr>
        <w:t xml:space="preserve">Acção 2.3. </w:t>
      </w:r>
      <w:r>
        <w:t>Submissão ao Provedor de Justiça de pedido formal de investigação sobre a falha estrutural do sistema executivo português que permite a manutenção de constrições patrimoniais sobre títulos declarados judicialmente inexistentes, com referência expressa ao caso documentado e ao dever de organização do Estado decorrente do art. 20.º CRP.</w:t>
      </w:r>
    </w:p>
    <w:p w14:paraId="18124860">
      <w:pPr>
        <w:spacing w:after="120" w:line="276" w:lineRule="auto"/>
        <w:jc w:val="both"/>
      </w:pPr>
      <w:r>
        <w:rPr>
          <w:b/>
          <w:bCs/>
        </w:rPr>
        <w:t xml:space="preserve">Acção 2.4. </w:t>
      </w:r>
      <w:r>
        <w:t>Inclusão na queixa TEDH (Eixo 8) de pedido subsidiário de medidas gerais (art. 46.º § 1 CEDH) destinado à implementação de mecanismo automático de bloqueio nos termos descritos no presente eixo.</w:t>
      </w:r>
    </w:p>
    <w:p w14:paraId="7C183B45">
      <w:pPr>
        <w:pageBreakBefore/>
      </w:pPr>
    </w:p>
    <w:p w14:paraId="7B432705">
      <w:pPr>
        <w:pStyle w:val="2"/>
        <w:spacing w:before="360" w:after="200"/>
      </w:pPr>
      <w:r>
        <w:rPr>
          <w:rFonts w:ascii="Arial" w:hAnsi="Arial" w:eastAsia="Arial" w:cs="Arial"/>
          <w:b/>
          <w:bCs/>
          <w:sz w:val="28"/>
          <w:szCs w:val="28"/>
        </w:rPr>
        <w:t>V.  Eixo 3 — Protocolo de citação verificável em tempo real</w:t>
      </w:r>
    </w:p>
    <w:p w14:paraId="058761A8">
      <w:pPr>
        <w:pStyle w:val="3"/>
        <w:spacing w:before="280" w:after="160"/>
      </w:pPr>
      <w:r>
        <w:rPr>
          <w:rFonts w:ascii="Arial" w:hAnsi="Arial" w:eastAsia="Arial" w:cs="Arial"/>
          <w:b/>
          <w:bCs/>
          <w:sz w:val="24"/>
          <w:szCs w:val="24"/>
        </w:rPr>
        <w:t>V.1  Diagnóstico</w:t>
      </w:r>
    </w:p>
    <w:p w14:paraId="28C67DB8">
      <w:pPr>
        <w:spacing w:after="140" w:line="276" w:lineRule="auto"/>
        <w:jc w:val="both"/>
      </w:pPr>
      <w:r>
        <w:rPr>
          <w:b/>
          <w:bCs/>
        </w:rPr>
        <w:t xml:space="preserve">§22.  </w:t>
      </w:r>
      <w:r>
        <w:t>O sistema português de citação assenta em três modalidades principais: citação postal com aviso de recepção (art. 228.º CPC), citação por agente de execução (art. 231.º CPC) e citação em terceira pessoa (art. 232.º CPC). Em todas as modalidades, a verificação da efectividade da citação depende de elementos físicos (entrega, assinatura) ou da fiabilidade do terceiro receptor.</w:t>
      </w:r>
    </w:p>
    <w:p w14:paraId="35D0A080">
      <w:pPr>
        <w:spacing w:after="140" w:line="276" w:lineRule="auto"/>
        <w:jc w:val="both"/>
      </w:pPr>
      <w:r>
        <w:rPr>
          <w:b/>
          <w:bCs/>
        </w:rPr>
        <w:t xml:space="preserve">§23.  </w:t>
      </w:r>
      <w:r>
        <w:t>Nos processos em causa, a falha de citação revela-se em padrão sistémico. No P_23142, a citação efectuada em 4 de Julho de 2023 foi entregue a Filipe José Rodrigues Delgado, co-executado nos mesmos autos. Filipe Delgado declarou em audiência judicial sob juramento (Proc. 3719/25.0T8LSB, em 6 de Novembro de 2025) residir no Largo da Pirâmide, n.º 3, Linda-a-Velha, concelho de Oeiras. O queixoso reside na Rua da Palmeira, n.º 31, Lisboa. Os dois executados não coabitam, nunca coabitaram, residem em concelhos distintos e têm interesse processual antagónico. A citação efectuada na pessoa de Filipe Delgado violou o art. 232.º, n.º 1, CPC, que exige coabitação.</w:t>
      </w:r>
    </w:p>
    <w:p w14:paraId="59F3F961">
      <w:pPr>
        <w:spacing w:after="140" w:line="276" w:lineRule="auto"/>
        <w:jc w:val="both"/>
      </w:pPr>
      <w:r>
        <w:rPr>
          <w:b/>
          <w:bCs/>
        </w:rPr>
        <w:t xml:space="preserve">§24.  </w:t>
      </w:r>
      <w:r>
        <w:t>O queixoso só tomou conhecimento da existência da execução em 23 de Janeiro de 2024 — 203 dias após a citação — quando bloqueios bancários activaram alertas. Padrão idêntico de notificação defeituosa verificou-se nos processos P_10153, P_20203 e PROC-AT-FISCAL: tomada de conhecimento apenas pela via das penhoras, nunca por cartas registadas com aviso de recepção válidas.</w:t>
      </w:r>
    </w:p>
    <w:p w14:paraId="5A69DE1F">
      <w:pPr>
        <w:pStyle w:val="3"/>
        <w:spacing w:before="280" w:after="160"/>
      </w:pPr>
      <w:r>
        <w:rPr>
          <w:rFonts w:ascii="Arial" w:hAnsi="Arial" w:eastAsia="Arial" w:cs="Arial"/>
          <w:b/>
          <w:bCs/>
          <w:sz w:val="24"/>
          <w:szCs w:val="24"/>
        </w:rPr>
        <w:t>V.2  Jurisprudência TEDH directamente aplicável</w:t>
      </w:r>
    </w:p>
    <w:p w14:paraId="1D245368">
      <w:pPr>
        <w:spacing w:after="140" w:line="276" w:lineRule="auto"/>
        <w:jc w:val="both"/>
      </w:pPr>
      <w:r>
        <w:rPr>
          <w:b/>
          <w:bCs/>
        </w:rPr>
        <w:t xml:space="preserve">§25.  </w:t>
      </w:r>
      <w:r>
        <w:rPr>
          <w:i/>
          <w:iCs/>
        </w:rPr>
        <w:t>Meggi Cala c. Portugal</w:t>
      </w:r>
      <w:r>
        <w:t xml:space="preserve"> (queixa n.º 24086/11, acórdão de 2 de Fevereiro de 2016). Violação do art. 6.º § 1 CEDH por defeito de notificação de acórdão em processo penal, com efeitos directos sobre o exercício de direitos processuais. O TEDH constatou que a comunicação processual deve ser efectiva e idónea, não meramente formal. Compensação de €3.250 por danos morais.</w:t>
      </w:r>
    </w:p>
    <w:p w14:paraId="2DF033D7">
      <w:pPr>
        <w:spacing w:after="140" w:line="276" w:lineRule="auto"/>
        <w:jc w:val="both"/>
      </w:pPr>
      <w:r>
        <w:rPr>
          <w:b/>
          <w:bCs/>
        </w:rPr>
        <w:t xml:space="preserve">§26.  </w:t>
      </w:r>
      <w:r>
        <w:rPr>
          <w:i/>
          <w:iCs/>
        </w:rPr>
        <w:t>Gramaxo Rozeira c. Portugal</w:t>
      </w:r>
      <w:r>
        <w:t xml:space="preserve"> (queixa n.º 21976/09, acórdão de 21 de Janeiro de 2014). Violação do art. 6.º § 1 por falta de notificação ao queixoso da carta do Procurador-Geral, contendo opinião jurídica, ao Tribunal Constitucional, em processo de fiscalização concreta da constitucionalidade.</w:t>
      </w:r>
    </w:p>
    <w:p w14:paraId="06CB3E84">
      <w:pPr>
        <w:spacing w:after="140" w:line="276" w:lineRule="auto"/>
        <w:jc w:val="both"/>
      </w:pPr>
      <w:r>
        <w:rPr>
          <w:b/>
          <w:bCs/>
        </w:rPr>
        <w:t xml:space="preserve">§27.  </w:t>
      </w:r>
      <w:r>
        <w:rPr>
          <w:i/>
          <w:iCs/>
        </w:rPr>
        <w:t>Krčmář e Outros c. República Checa</w:t>
      </w:r>
      <w:r>
        <w:t xml:space="preserve"> (queixa n.º 35376/97, acórdão de 3 de Março de 2000, § 39). Doutrina sobre a exigência de que a parte esteja consciente de que as observações foram apresentadas e tenha oportunidade real de comentar. A privação prolongada de contraditório, em períodos longos como os 203 dias documentados no P_23142, configura violação do art. 6.º § 1.</w:t>
      </w:r>
    </w:p>
    <w:p w14:paraId="3BF7A0A3">
      <w:pPr>
        <w:pStyle w:val="3"/>
        <w:spacing w:before="280" w:after="160"/>
      </w:pPr>
      <w:r>
        <w:rPr>
          <w:rFonts w:ascii="Arial" w:hAnsi="Arial" w:eastAsia="Arial" w:cs="Arial"/>
          <w:b/>
          <w:bCs/>
          <w:sz w:val="24"/>
          <w:szCs w:val="24"/>
        </w:rPr>
        <w:t>V.3  Proposta técnica de citação verificável</w:t>
      </w:r>
    </w:p>
    <w:p w14:paraId="7AEFF921">
      <w:pPr>
        <w:spacing w:after="120" w:line="276" w:lineRule="auto"/>
        <w:jc w:val="both"/>
      </w:pPr>
      <w:r>
        <w:rPr>
          <w:b/>
          <w:bCs/>
        </w:rPr>
        <w:t xml:space="preserve">Componente 1 — Geração de QR Code único. </w:t>
      </w:r>
      <w:r>
        <w:t>No momento da emissão de notificação processual, o Citius gera QR Code único, vinculado ao número de processo e ao identificador civil do citando.</w:t>
      </w:r>
    </w:p>
    <w:p w14:paraId="3873BE72">
      <w:pPr>
        <w:spacing w:after="120" w:line="276" w:lineRule="auto"/>
        <w:jc w:val="both"/>
      </w:pPr>
      <w:r>
        <w:rPr>
          <w:b/>
          <w:bCs/>
        </w:rPr>
        <w:t xml:space="preserve">Componente 2 — Verificação obrigatória. </w:t>
      </w:r>
      <w:r>
        <w:t>O destinatário acede ao portal oficial citius.justica.gov.pt/citar, autentica-se por Cartão de Cidadão ou Chave Móvel Digital, e confirma a leitura. O sistema regista hora exacta, IP, geolocalização, e gera hash SHA-256 da página consultada como prova de integridade.</w:t>
      </w:r>
    </w:p>
    <w:p w14:paraId="622D663F">
      <w:pPr>
        <w:spacing w:after="120" w:line="276" w:lineRule="auto"/>
        <w:jc w:val="both"/>
      </w:pPr>
      <w:r>
        <w:rPr>
          <w:b/>
          <w:bCs/>
        </w:rPr>
        <w:t xml:space="preserve">Componente 3 — Alerta automático. </w:t>
      </w:r>
      <w:r>
        <w:t>Se o QR Code não for lido dentro de 72 horas, o sistema dispara alerta para o tribunal e gera nova notificação por SMS e email, com link seguro também registado.</w:t>
      </w:r>
    </w:p>
    <w:p w14:paraId="303F2589">
      <w:pPr>
        <w:spacing w:after="120" w:line="276" w:lineRule="auto"/>
        <w:jc w:val="both"/>
      </w:pPr>
      <w:r>
        <w:rPr>
          <w:b/>
          <w:bCs/>
        </w:rPr>
        <w:t xml:space="preserve">Componente 4 — Eliminação progressiva da citação em terceira pessoa. </w:t>
      </w:r>
      <w:r>
        <w:t>A modalidade de citação em terceira pessoa (art. 232.º CPC) é progressivamente substituída, salvo em casos de manifesta impossibilidade do citando, por citação digital com verificação biométrica.</w:t>
      </w:r>
    </w:p>
    <w:p w14:paraId="245158C7">
      <w:pPr>
        <w:pStyle w:val="3"/>
        <w:spacing w:before="280" w:after="160"/>
      </w:pPr>
      <w:r>
        <w:rPr>
          <w:rFonts w:ascii="Arial" w:hAnsi="Arial" w:eastAsia="Arial" w:cs="Arial"/>
          <w:b/>
          <w:bCs/>
          <w:sz w:val="24"/>
          <w:szCs w:val="24"/>
        </w:rPr>
        <w:t>V.4  Acção operacional concreta</w:t>
      </w:r>
    </w:p>
    <w:p w14:paraId="64014C02">
      <w:pPr>
        <w:spacing w:after="120" w:line="276" w:lineRule="auto"/>
        <w:jc w:val="both"/>
      </w:pPr>
      <w:r>
        <w:rPr>
          <w:b/>
          <w:bCs/>
        </w:rPr>
        <w:t xml:space="preserve">Acção 3.1. </w:t>
      </w:r>
      <w:r>
        <w:t>Reapresentação da arguição de nulidade da citação no P_23142, agora reforçada com o acórdão TRL de 19 de Março de 2026, articulando expressamente a violação substantiva do art. 6.º § 1 CEDH por aplicação directa de Meggi Cala c. Portugal.</w:t>
      </w:r>
    </w:p>
    <w:p w14:paraId="3D7E6D45">
      <w:pPr>
        <w:spacing w:after="120" w:line="276" w:lineRule="auto"/>
        <w:jc w:val="both"/>
      </w:pPr>
      <w:r>
        <w:rPr>
          <w:b/>
          <w:bCs/>
        </w:rPr>
        <w:t xml:space="preserve">Acção 3.2. </w:t>
      </w:r>
      <w:r>
        <w:t>Inclusão na queixa TEDH (Eixo 8) do pedido de medidas gerais (art. 46.º § 1) destinado à reforma do regime de citação português.</w:t>
      </w:r>
    </w:p>
    <w:p w14:paraId="4338B5CC">
      <w:pPr>
        <w:spacing w:after="120" w:line="276" w:lineRule="auto"/>
        <w:jc w:val="both"/>
      </w:pPr>
      <w:r>
        <w:rPr>
          <w:b/>
          <w:bCs/>
        </w:rPr>
        <w:t xml:space="preserve">Acção 3.3. </w:t>
      </w:r>
      <w:r>
        <w:t>Comunicação ao Conselho Superior da Magistratura e ao Ministério da Justiça, em formato de petição cidadã, da proposta técnica de citação verificável.</w:t>
      </w:r>
    </w:p>
    <w:p w14:paraId="5F1B0D78">
      <w:pPr>
        <w:pageBreakBefore/>
      </w:pPr>
    </w:p>
    <w:p w14:paraId="4FC110BC">
      <w:pPr>
        <w:pStyle w:val="2"/>
        <w:spacing w:before="360" w:after="200"/>
      </w:pPr>
      <w:r>
        <w:rPr>
          <w:rFonts w:ascii="Arial" w:hAnsi="Arial" w:eastAsia="Arial" w:cs="Arial"/>
          <w:b/>
          <w:bCs/>
          <w:sz w:val="28"/>
          <w:szCs w:val="28"/>
        </w:rPr>
        <w:t>VI.  Eixo 4 — Mecanismo de denúncia assistida (DIAP / IGAI)</w:t>
      </w:r>
    </w:p>
    <w:p w14:paraId="3862B51D">
      <w:pPr>
        <w:pStyle w:val="3"/>
        <w:spacing w:before="280" w:after="160"/>
      </w:pPr>
      <w:r>
        <w:rPr>
          <w:rFonts w:ascii="Arial" w:hAnsi="Arial" w:eastAsia="Arial" w:cs="Arial"/>
          <w:b/>
          <w:bCs/>
          <w:sz w:val="24"/>
          <w:szCs w:val="24"/>
        </w:rPr>
        <w:t>VI.1  Diagnóstico — evento de 7 de Dezembro de 2025</w:t>
      </w:r>
    </w:p>
    <w:p w14:paraId="424C4D92">
      <w:pPr>
        <w:spacing w:after="140" w:line="276" w:lineRule="auto"/>
        <w:jc w:val="both"/>
      </w:pPr>
      <w:r>
        <w:rPr>
          <w:b/>
          <w:bCs/>
        </w:rPr>
        <w:t xml:space="preserve">§28.  </w:t>
      </w:r>
      <w:r>
        <w:t>Em 7 de Dezembro de 2025, o queixoso deslocou-se às instalações da Polícia Judiciária em Lisboa com o objectivo expresso de apresentar denúncia escrita relativa à factualidade documentada nos sete processos. Levou consigo, impresso, escrito, segmentado por matéria, com anexos probatórios validados, conjunto integral de documentação: facturas LEA de 2021, mapas contabilísticos de 2022, recibos de renda em sentido invertido, cadernetas prediais, mapas tributários, extractos bancários, identificação dos intervenientes com NIF e morada.</w:t>
      </w:r>
    </w:p>
    <w:p w14:paraId="2DAA0DB0">
      <w:pPr>
        <w:spacing w:after="140" w:line="276" w:lineRule="auto"/>
        <w:jc w:val="both"/>
      </w:pPr>
      <w:r>
        <w:rPr>
          <w:b/>
          <w:bCs/>
        </w:rPr>
        <w:t xml:space="preserve">§29.  </w:t>
      </w:r>
      <w:r>
        <w:t>Hora de entrada nas instalações: 12h00. Hora de saída: 21h00. Tempo total de permanência: nove horas. Durante as primeiras quatro horas, um único agente recebeu o queixoso, recusou o registo da denúncia, não aceitou a entrega da documentação preparada, e resistiu palavra a palavra à formulação que o queixoso pretendia ver registada. Por volta das 17h00, o agente dirigiu-se a Inspector-Chefe com a frase «podes ajudar-me, ele não quer ir embora e quer apresentar denúncia». Em consequência, apareceram nas instalações mais quatro Inspectores-Chefes, perfazendo cinco. Nas quatro horas subsequentes, o conteúdo foi reduzido até produzir documento final de duas páginas.</w:t>
      </w:r>
    </w:p>
    <w:p w14:paraId="21D07F76">
      <w:pPr>
        <w:spacing w:after="140" w:line="276" w:lineRule="auto"/>
        <w:jc w:val="both"/>
      </w:pPr>
      <w:r>
        <w:rPr>
          <w:b/>
          <w:bCs/>
        </w:rPr>
        <w:t xml:space="preserve">§30.  </w:t>
      </w:r>
      <w:r>
        <w:t>Resultado material: documento de duas páginas, sem aceitação dos anexos, sem cópia entregue ao queixoso atestando o conteúdo, sem número de NUIPC ou de processo comunicado, sem recibo ou protocolo. O queixoso permanece, à data deste dossier, na posse integral da documentação preparada.</w:t>
      </w:r>
    </w:p>
    <w:p w14:paraId="2775AE92">
      <w:pPr>
        <w:pStyle w:val="3"/>
        <w:spacing w:before="280" w:after="160"/>
      </w:pPr>
      <w:r>
        <w:rPr>
          <w:rFonts w:ascii="Arial" w:hAnsi="Arial" w:eastAsia="Arial" w:cs="Arial"/>
          <w:b/>
          <w:bCs/>
          <w:sz w:val="24"/>
          <w:szCs w:val="24"/>
        </w:rPr>
        <w:t>VI.2  Verificabilidade objectiva dos factos</w:t>
      </w:r>
    </w:p>
    <w:p w14:paraId="27655E5F">
      <w:pPr>
        <w:spacing w:after="140" w:line="276" w:lineRule="auto"/>
        <w:jc w:val="both"/>
      </w:pPr>
      <w:r>
        <w:rPr>
          <w:b/>
          <w:bCs/>
        </w:rPr>
        <w:t xml:space="preserve">§31.  </w:t>
      </w:r>
      <w:r>
        <w:t>A descrição factual é objectivamente verificável por: (i) registos de entrada e saída nas instalações da PJ; (ii) videovigilância das instalações em 7 de Dezembro de 2025; (iii) registos internos da PJ identificando o agente receptor e os cinco Inspectores-Chefes em serviço naquele dia; (iv) documento de duas páginas efectivamente registado no arquivo da PJ. O queixoso peticionará ao TEDH, no exercício dos seus poderes de instrução nos termos do art. 38.º da Convenção, que oficie o Estado para junção destes elementos.</w:t>
      </w:r>
    </w:p>
    <w:p w14:paraId="6FD3EEBA">
      <w:pPr>
        <w:pStyle w:val="3"/>
        <w:spacing w:before="280" w:after="160"/>
      </w:pPr>
      <w:r>
        <w:rPr>
          <w:rFonts w:ascii="Arial" w:hAnsi="Arial" w:eastAsia="Arial" w:cs="Arial"/>
          <w:b/>
          <w:bCs/>
          <w:sz w:val="24"/>
          <w:szCs w:val="24"/>
        </w:rPr>
        <w:t>VI.3  Jurisprudência TEDH directamente aplicável</w:t>
      </w:r>
    </w:p>
    <w:p w14:paraId="69BD4255">
      <w:pPr>
        <w:spacing w:after="140" w:line="276" w:lineRule="auto"/>
        <w:jc w:val="both"/>
      </w:pPr>
      <w:r>
        <w:rPr>
          <w:b/>
          <w:bCs/>
        </w:rPr>
        <w:t xml:space="preserve">§32.  </w:t>
      </w:r>
      <w:r>
        <w:rPr>
          <w:i/>
          <w:iCs/>
        </w:rPr>
        <w:t>Golder c. Reino Unido</w:t>
      </w:r>
      <w:r>
        <w:t xml:space="preserve"> (queixa n.º 4451/70, acórdão de 21 de Fevereiro de 1975, §§ 35-36). Doutrina-pivô sobre o direito de acesso ao tribunal como elemento implícito do art. 6.º § 1, aplicável também ao acesso aos canais de denúncia criminal como pressuposto do exercício posterior de direitos processuais.</w:t>
      </w:r>
    </w:p>
    <w:p w14:paraId="30B6DE6E">
      <w:pPr>
        <w:spacing w:after="140" w:line="276" w:lineRule="auto"/>
        <w:jc w:val="both"/>
      </w:pPr>
      <w:r>
        <w:rPr>
          <w:b/>
          <w:bCs/>
        </w:rPr>
        <w:t xml:space="preserve">§33.  </w:t>
      </w:r>
      <w:r>
        <w:rPr>
          <w:i/>
          <w:iCs/>
        </w:rPr>
        <w:t>Airey c. Irlanda</w:t>
      </w:r>
      <w:r>
        <w:t xml:space="preserve"> (queixa n.º 6289/73, acórdão de 9 de Outubro de 1979, § 24). «A Convenção visa garantir não direitos teóricos ou ilusórios, mas direitos práticos e efectivos.» Aplicação directa: o canal indicado pela ordem jurídica para apresentação de denúncia criminal deve produzir, efectivamente, registo fiel do que foi denunciado.</w:t>
      </w:r>
    </w:p>
    <w:p w14:paraId="052F3535">
      <w:pPr>
        <w:pStyle w:val="3"/>
        <w:spacing w:before="280" w:after="160"/>
      </w:pPr>
      <w:r>
        <w:rPr>
          <w:rFonts w:ascii="Arial" w:hAnsi="Arial" w:eastAsia="Arial" w:cs="Arial"/>
          <w:b/>
          <w:bCs/>
          <w:sz w:val="24"/>
          <w:szCs w:val="24"/>
        </w:rPr>
        <w:t>VI.4  Quadro normativo nacional aplicável</w:t>
      </w:r>
    </w:p>
    <w:p w14:paraId="6AE3C353">
      <w:pPr>
        <w:spacing w:after="140" w:line="276" w:lineRule="auto"/>
        <w:jc w:val="both"/>
      </w:pPr>
      <w:r>
        <w:rPr>
          <w:b/>
          <w:bCs/>
        </w:rPr>
        <w:t xml:space="preserve">§34.  </w:t>
      </w:r>
      <w:r>
        <w:t>O art. 246.º, n.º 1, do Código de Processo Penal determina que «a denúncia pode ser feita verbalmente ou por escrito e não está sujeita a formalidades especiais». O n.º 2 do mesmo preceito determina que a denúncia oral é reduzida a escrito pela autoridade que a recebe. O art. 248.º impõe ainda às entidades policiais o dever de transmissão da notícia do crime ao Ministério Público «no mais curto prazo, que não pode exceder dez dias».</w:t>
      </w:r>
    </w:p>
    <w:p w14:paraId="4F8D0707">
      <w:pPr>
        <w:spacing w:after="140" w:line="276" w:lineRule="auto"/>
        <w:jc w:val="both"/>
      </w:pPr>
      <w:r>
        <w:rPr>
          <w:b/>
          <w:bCs/>
        </w:rPr>
        <w:t xml:space="preserve">§35.  </w:t>
      </w:r>
      <w:r>
        <w:t>A entrega de cópia ou de número identificador ao denunciante constitui prática consolidada de boa administração e elemento essencial da garantia de acesso à justiça. A sua omissão configura, na perspectiva do queixoso, irregularidade procedimental susceptível de averiguação pela IGAI e pela IGSJ, sem prejuízo da apreciação convencional pelo TEDH.</w:t>
      </w:r>
    </w:p>
    <w:p w14:paraId="703B1B16">
      <w:pPr>
        <w:pStyle w:val="3"/>
        <w:spacing w:before="280" w:after="160"/>
      </w:pPr>
      <w:r>
        <w:rPr>
          <w:rFonts w:ascii="Arial" w:hAnsi="Arial" w:eastAsia="Arial" w:cs="Arial"/>
          <w:b/>
          <w:bCs/>
          <w:sz w:val="24"/>
          <w:szCs w:val="24"/>
        </w:rPr>
        <w:t>VI.5  Proposta técnica de denúncia assistida</w:t>
      </w:r>
    </w:p>
    <w:p w14:paraId="0CD94B14">
      <w:pPr>
        <w:spacing w:after="120" w:line="276" w:lineRule="auto"/>
        <w:jc w:val="both"/>
      </w:pPr>
      <w:r>
        <w:rPr>
          <w:b/>
          <w:bCs/>
        </w:rPr>
        <w:t xml:space="preserve">Componente 1 — Aplicação móvel oficial. </w:t>
      </w:r>
      <w:r>
        <w:t>Aplicação móvel disponível em lojas oficiais (Apple, Google), gerida pela Procuradoria-Geral da República em articulação com a IGAI, que guie o utilizador através de fluxograma de denúncia, com campos obrigatórios por tipo legal de crime.</w:t>
      </w:r>
    </w:p>
    <w:p w14:paraId="102B0FF7">
      <w:pPr>
        <w:spacing w:after="120" w:line="276" w:lineRule="auto"/>
        <w:jc w:val="both"/>
      </w:pPr>
      <w:r>
        <w:rPr>
          <w:b/>
          <w:bCs/>
        </w:rPr>
        <w:t xml:space="preserve">Componente 2 — Anexos seguros. </w:t>
      </w:r>
      <w:r>
        <w:t>Captura de fotos de documentos com OCR integrado e geração local de hash SHA-256, garantindo que o conteúdo não pode ser adulterado após submissão.</w:t>
      </w:r>
    </w:p>
    <w:p w14:paraId="105E61E2">
      <w:pPr>
        <w:spacing w:after="120" w:line="276" w:lineRule="auto"/>
        <w:jc w:val="both"/>
      </w:pPr>
      <w:r>
        <w:rPr>
          <w:b/>
          <w:bCs/>
        </w:rPr>
        <w:t xml:space="preserve">Componente 3 — Submissão criptografada com protocolo instantâneo. </w:t>
      </w:r>
      <w:r>
        <w:t>Dados enviados directamente ao Ministério Público (DIAP territorialmente competente), com cópias automáticas para a IGAI e para o Provedor de Justiça. O utilizador recebe número de protocolo instantâneo, NUIPC provisório e prazo de comunicação da decisão.</w:t>
      </w:r>
    </w:p>
    <w:p w14:paraId="23FD1E95">
      <w:pPr>
        <w:spacing w:after="120" w:line="276" w:lineRule="auto"/>
        <w:jc w:val="both"/>
      </w:pPr>
      <w:r>
        <w:rPr>
          <w:b/>
          <w:bCs/>
        </w:rPr>
        <w:t xml:space="preserve">Componente 4 — Eliminação da discricionariedade do agente. </w:t>
      </w:r>
      <w:r>
        <w:t>O sistema regista tudo o que é inserido pelo utilizador. Qualquer reformulação ou redução do conteúdo é feita posteriormente pelo Magistrado do Ministério Público, com registo de alterações e direito do denunciante a comentar.</w:t>
      </w:r>
    </w:p>
    <w:p w14:paraId="39D025D0">
      <w:pPr>
        <w:pStyle w:val="3"/>
        <w:spacing w:before="280" w:after="160"/>
      </w:pPr>
      <w:r>
        <w:rPr>
          <w:rFonts w:ascii="Arial" w:hAnsi="Arial" w:eastAsia="Arial" w:cs="Arial"/>
          <w:b/>
          <w:bCs/>
          <w:sz w:val="24"/>
          <w:szCs w:val="24"/>
        </w:rPr>
        <w:t>VI.6  Acção operacional concreta</w:t>
      </w:r>
    </w:p>
    <w:p w14:paraId="73AB8FC8">
      <w:pPr>
        <w:spacing w:after="120" w:line="276" w:lineRule="auto"/>
        <w:jc w:val="both"/>
      </w:pPr>
      <w:r>
        <w:rPr>
          <w:b/>
          <w:bCs/>
        </w:rPr>
        <w:t xml:space="preserve">Acção 4.1. </w:t>
      </w:r>
      <w:r>
        <w:t>Submissão imediata, ao DIAP de Lisboa, de denúncia escrita por correio registado com aviso de recepção, contendo: (i) descrição cronológica integral dos factos do dia 7 de Dezembro de 2025; (ii) cópia integral da documentação que o queixoso levou impressa naquele dia; (iii) pedido de atribuição de NUIPC e instauração de inquérito.</w:t>
      </w:r>
    </w:p>
    <w:p w14:paraId="020E02DD">
      <w:pPr>
        <w:spacing w:after="120" w:line="276" w:lineRule="auto"/>
        <w:jc w:val="both"/>
      </w:pPr>
      <w:r>
        <w:rPr>
          <w:b/>
          <w:bCs/>
        </w:rPr>
        <w:t xml:space="preserve">Acção 4.2. </w:t>
      </w:r>
      <w:r>
        <w:t>Submissão simultânea, à IGAI e à IGSJ, de reclamação formal sobre o procedimento adoptado pela PJ no dia 7 de Dezembro de 2025, com pedido de audição do agente receptor, dos cinco Inspectores-Chefes intervenientes, e de junção dos registos de entrada/saída e videovigilância.</w:t>
      </w:r>
    </w:p>
    <w:p w14:paraId="7B222BC1">
      <w:pPr>
        <w:spacing w:after="120" w:line="276" w:lineRule="auto"/>
        <w:jc w:val="both"/>
      </w:pPr>
      <w:r>
        <w:rPr>
          <w:b/>
          <w:bCs/>
        </w:rPr>
        <w:t xml:space="preserve">Acção 4.3. </w:t>
      </w:r>
      <w:r>
        <w:t>Inclusão expressa, na queixa TEDH (Eixo 8), do evento de 7 de Dezembro de 2025 como capítulo autónomo, com invocação do art. 6.º § 1 (acesso material ao tribunal) e do art. 13.º (recurso interno efectivo).</w:t>
      </w:r>
    </w:p>
    <w:p w14:paraId="2777DCD4">
      <w:pPr>
        <w:pageBreakBefore/>
      </w:pPr>
    </w:p>
    <w:p w14:paraId="49BA096A">
      <w:pPr>
        <w:pStyle w:val="2"/>
        <w:spacing w:before="360" w:after="200"/>
      </w:pPr>
      <w:r>
        <w:rPr>
          <w:rFonts w:ascii="Arial" w:hAnsi="Arial" w:eastAsia="Arial" w:cs="Arial"/>
          <w:b/>
          <w:bCs/>
          <w:sz w:val="28"/>
          <w:szCs w:val="28"/>
        </w:rPr>
        <w:t>VII.  Eixo 5 — Reabertura de questões processuais prejudicadas</w:t>
      </w:r>
    </w:p>
    <w:p w14:paraId="149CF65B">
      <w:pPr>
        <w:pStyle w:val="3"/>
        <w:spacing w:before="280" w:after="160"/>
      </w:pPr>
      <w:r>
        <w:rPr>
          <w:rFonts w:ascii="Arial" w:hAnsi="Arial" w:eastAsia="Arial" w:cs="Arial"/>
          <w:b/>
          <w:bCs/>
          <w:sz w:val="24"/>
          <w:szCs w:val="24"/>
        </w:rPr>
        <w:t>VII.1  Diagnóstico</w:t>
      </w:r>
    </w:p>
    <w:p w14:paraId="26E0F85D">
      <w:pPr>
        <w:spacing w:after="140" w:line="276" w:lineRule="auto"/>
        <w:jc w:val="both"/>
      </w:pPr>
      <w:r>
        <w:rPr>
          <w:b/>
          <w:bCs/>
        </w:rPr>
        <w:t xml:space="preserve">§36.  </w:t>
      </w:r>
      <w:r>
        <w:t>Em 6 de Fevereiro de 2024 (ref. Citius 38393638), o queixoso arguiu, no P_23142, a nulidade da citação efectuada em 4 de Julho de 2023. Em 12 de Julho de 2024 (ref. 437217546), o tribunal a quo abriu contraditório sobre a arguição, criando expectativa legítima de decisão substantiva. Em 13 de Outubro de 2025 (ref. 448881152), o tribunal a quo declarou prejudicada a apreciação da nulidade, sem decidir o seu mérito, com fundamento na afirmação da Senhora Agente de Execução, constante do ofício de 20 de Setembro de 2024 (ref. 437217551), de que «após contacto com o executado, foi remetida toda a documentação».</w:t>
      </w:r>
    </w:p>
    <w:p w14:paraId="633ECFA3">
      <w:pPr>
        <w:spacing w:after="140" w:line="276" w:lineRule="auto"/>
        <w:jc w:val="both"/>
      </w:pPr>
      <w:r>
        <w:rPr>
          <w:b/>
          <w:bCs/>
        </w:rPr>
        <w:t xml:space="preserve">§37.  </w:t>
      </w:r>
      <w:r>
        <w:t>A análise documental revela que esta segunda afirmação não corresponde aos factos: foi o queixoso quem contactou a Agente de Execução, em Janeiro de 2024, após o conhecimento dos bloqueios bancários; não consta dos autos qualquer comprovativo de envio de documentação pela Agente ao queixoso. A primeira afirmação do mesmo ofício, segundo a qual «por lapso, não seguiu em anexo o respectivo documento referente à decisão de recurso», constitui reconhecimento documental da nulidade da citação.</w:t>
      </w:r>
    </w:p>
    <w:p w14:paraId="0A170A6F">
      <w:pPr>
        <w:pStyle w:val="3"/>
        <w:spacing w:before="280" w:after="160"/>
      </w:pPr>
      <w:r>
        <w:rPr>
          <w:rFonts w:ascii="Arial" w:hAnsi="Arial" w:eastAsia="Arial" w:cs="Arial"/>
          <w:b/>
          <w:bCs/>
          <w:sz w:val="24"/>
          <w:szCs w:val="24"/>
        </w:rPr>
        <w:t>VII.2  Jurisprudência TEDH directamente aplicável</w:t>
      </w:r>
    </w:p>
    <w:p w14:paraId="4EB71623">
      <w:pPr>
        <w:spacing w:after="140" w:line="276" w:lineRule="auto"/>
        <w:jc w:val="both"/>
      </w:pPr>
      <w:r>
        <w:rPr>
          <w:b/>
          <w:bCs/>
        </w:rPr>
        <w:t xml:space="preserve">§38.  </w:t>
      </w:r>
      <w:r>
        <w:rPr>
          <w:i/>
          <w:iCs/>
        </w:rPr>
        <w:t>García Ruiz c. Espanha</w:t>
      </w:r>
      <w:r>
        <w:t xml:space="preserve"> [GC] (queixa n.º 30544/96, acórdão de 21 de Janeiro de 1999, § 26). Confirmação da exigência de fundamentação adequada das decisões judiciais. O TEDH fixa que o silêncio sobre uma questão pode ser razoavelmente interpretado como rejeição implícita apenas em circunstâncias específicas e bem fundamentadas.</w:t>
      </w:r>
    </w:p>
    <w:p w14:paraId="44E5A8F3">
      <w:pPr>
        <w:spacing w:after="140" w:line="276" w:lineRule="auto"/>
        <w:jc w:val="both"/>
      </w:pPr>
      <w:r>
        <w:rPr>
          <w:b/>
          <w:bCs/>
        </w:rPr>
        <w:t xml:space="preserve">§39.  </w:t>
      </w:r>
      <w:r>
        <w:rPr>
          <w:i/>
          <w:iCs/>
        </w:rPr>
        <w:t>Hiro Balani c. Espanha</w:t>
      </w:r>
      <w:r>
        <w:t xml:space="preserve"> (queixa n.º 18064/91, acórdão de 9 de Dezembro de 1994). Violação do art. 6.º § 1 por o tribunal interno deixar sem resposta um argumento decisivo da queixosa. Doutrina paralela em </w:t>
      </w:r>
      <w:r>
        <w:rPr>
          <w:i/>
          <w:iCs/>
        </w:rPr>
        <w:t>Ruiz Torija c. Espanha</w:t>
      </w:r>
      <w:r>
        <w:t xml:space="preserve"> (mesma data, queixa n.º 18390/91): violação por omissão de pronúncia sobre excepção de prescrição. A obrigação é de responder a alegações «não apenas relevantes mas decisivas para o desfecho do caso».</w:t>
      </w:r>
    </w:p>
    <w:p w14:paraId="05332647">
      <w:pPr>
        <w:spacing w:after="140" w:line="276" w:lineRule="auto"/>
        <w:jc w:val="both"/>
      </w:pPr>
      <w:r>
        <w:rPr>
          <w:b/>
          <w:bCs/>
        </w:rPr>
        <w:t xml:space="preserve">§40.  </w:t>
      </w:r>
      <w:r>
        <w:rPr>
          <w:i/>
          <w:iCs/>
        </w:rPr>
        <w:t>Khamidov c. Rússia</w:t>
      </w:r>
      <w:r>
        <w:t xml:space="preserve"> (queixa n.º 72118/01, acórdão de 15 de Novembro de 2007). Aproximação à figura da arbitrariedade na fixação da matéria de facto: a rejeição de prova manifestamente «defying any reasonable explanation» equivale a denegação de justiça. Aplicação directa ao caso: declaração de prejudicialidade fundada em afirmação factualmente desmentida pelos próprios autos configura violação por arbitrariedade material.</w:t>
      </w:r>
    </w:p>
    <w:p w14:paraId="29678EFA">
      <w:pPr>
        <w:pStyle w:val="3"/>
        <w:spacing w:before="280" w:after="160"/>
      </w:pPr>
      <w:r>
        <w:rPr>
          <w:rFonts w:ascii="Arial" w:hAnsi="Arial" w:eastAsia="Arial" w:cs="Arial"/>
          <w:b/>
          <w:bCs/>
          <w:sz w:val="24"/>
          <w:szCs w:val="24"/>
        </w:rPr>
        <w:t>VII.3  Acção operacional concreta</w:t>
      </w:r>
    </w:p>
    <w:p w14:paraId="577C654B">
      <w:pPr>
        <w:spacing w:after="120" w:line="276" w:lineRule="auto"/>
        <w:jc w:val="both"/>
      </w:pPr>
      <w:r>
        <w:rPr>
          <w:b/>
          <w:bCs/>
        </w:rPr>
        <w:t xml:space="preserve">Acção 5.1. </w:t>
      </w:r>
      <w:r>
        <w:t>Apresentação ao STJ, no prazo legal, de Recurso de Revista no P_23142, ainda que com risco de inadmissibilidade pelo critério da alçada (art. 629.º CPC), em ordem a satisfazer o requisito do esgotamento das vias internas. A Revista invocará expressamente: (i) violação do art. 608.º, n.º 2, CPC (dever de pronúncia); (ii) violação do art. 154.º CPC (dever de fundamentação); (iii) violação do art. 6.º § 1 CEDH conforme jurisprudência García Ruiz / Hiro Balani / Khamidov; (iv) violação do art. 20.º, n.º 4, CRP.</w:t>
      </w:r>
    </w:p>
    <w:p w14:paraId="4C3E5DBB">
      <w:pPr>
        <w:spacing w:after="120" w:line="276" w:lineRule="auto"/>
        <w:jc w:val="both"/>
      </w:pPr>
      <w:r>
        <w:rPr>
          <w:b/>
          <w:bCs/>
        </w:rPr>
        <w:t xml:space="preserve">Acção 5.2. </w:t>
      </w:r>
      <w:r>
        <w:t>Em paralelo, submissão à OSAE/CAAJ de comunicação detalhada sobre a desconformidade entre as duas afirmações constantes do ofício da AE de 20/09/2024, com pedido de averiguação disciplinar.</w:t>
      </w:r>
    </w:p>
    <w:p w14:paraId="3E66922C">
      <w:pPr>
        <w:spacing w:after="120" w:line="276" w:lineRule="auto"/>
        <w:jc w:val="both"/>
      </w:pPr>
      <w:r>
        <w:rPr>
          <w:b/>
          <w:bCs/>
        </w:rPr>
        <w:t xml:space="preserve">Acção 5.3. </w:t>
      </w:r>
      <w:r>
        <w:t>Documentação exaustiva, no dossier convencional, do mecanismo de declaração de prejudicialidade fundada em afirmação factualmente desmentida, como elemento de base para a queixa TEDH.</w:t>
      </w:r>
    </w:p>
    <w:p w14:paraId="7DECE8C0">
      <w:pPr>
        <w:pageBreakBefore/>
      </w:pPr>
    </w:p>
    <w:p w14:paraId="418907B3">
      <w:pPr>
        <w:pStyle w:val="2"/>
        <w:spacing w:before="360" w:after="200"/>
      </w:pPr>
      <w:r>
        <w:rPr>
          <w:rFonts w:ascii="Arial" w:hAnsi="Arial" w:eastAsia="Arial" w:cs="Arial"/>
          <w:b/>
          <w:bCs/>
          <w:sz w:val="28"/>
          <w:szCs w:val="28"/>
        </w:rPr>
        <w:t>VIII.  Eixo 6 — Fiscalização efectiva dos Agentes de Execução</w:t>
      </w:r>
    </w:p>
    <w:p w14:paraId="5F3BC93F">
      <w:pPr>
        <w:pStyle w:val="3"/>
        <w:spacing w:before="280" w:after="160"/>
      </w:pPr>
      <w:r>
        <w:rPr>
          <w:rFonts w:ascii="Arial" w:hAnsi="Arial" w:eastAsia="Arial" w:cs="Arial"/>
          <w:b/>
          <w:bCs/>
          <w:sz w:val="24"/>
          <w:szCs w:val="24"/>
        </w:rPr>
        <w:t>VIII.1  Diagnóstico</w:t>
      </w:r>
    </w:p>
    <w:p w14:paraId="37316ABB">
      <w:pPr>
        <w:spacing w:after="140" w:line="276" w:lineRule="auto"/>
        <w:jc w:val="both"/>
      </w:pPr>
      <w:r>
        <w:rPr>
          <w:b/>
          <w:bCs/>
        </w:rPr>
        <w:t xml:space="preserve">§41.  </w:t>
      </w:r>
      <w:r>
        <w:t>O regime português dos Agentes de Execução, instituído pelo Decreto-Lei n.º 38/2003, de 8 de Março, e desenvolvido pelo Decreto-Lei n.º 226/2008 e pela Lei n.º 154/2015, atribui aos Agentes de Execução poderes públicos delegados em sede de execução cível. A fiscalização disciplinar é feita pela actual Ordem dos Solicitadores e Agentes de Execução (OSAE), sucessora da Câmara dos Solicitadores em matéria de Agentes de Execução, e a fiscalização processual é feita pelo juiz de execução nos termos do art. 723.º CPC.</w:t>
      </w:r>
    </w:p>
    <w:p w14:paraId="507B91A7">
      <w:pPr>
        <w:spacing w:after="140" w:line="276" w:lineRule="auto"/>
        <w:jc w:val="both"/>
      </w:pPr>
      <w:r>
        <w:rPr>
          <w:b/>
          <w:bCs/>
        </w:rPr>
        <w:t xml:space="preserve">§42.  </w:t>
      </w:r>
      <w:r>
        <w:t xml:space="preserve">O caso documentado revela falência operacional desta dupla fiscalização. A Senhora Agente de Execução interveniente no P_23142 reconheceu por escrito, em ofício de 20 de Setembro de 2024 (ref. 437217551), a omissão de elementos obrigatórios do acto de citação. Apesar deste reconhecimento, a sua actuação prosseguiu sem averiguação disciplinar conhecida e sem afastamento processual pelo juiz, em desrespeito da jurisprudência consolidada do TEDH em </w:t>
      </w:r>
    </w:p>
    <w:p w14:paraId="0DDA0C05">
      <w:pPr>
        <w:spacing w:after="140" w:line="276" w:lineRule="auto"/>
        <w:jc w:val="both"/>
      </w:pPr>
      <w:r>
        <w:rPr>
          <w:b/>
          <w:bCs/>
        </w:rPr>
        <w:t xml:space="preserve">§43.  </w:t>
      </w:r>
      <w:r>
        <w:rPr>
          <w:i/>
          <w:iCs/>
        </w:rPr>
        <w:t>Terebus c. Portugal</w:t>
      </w:r>
      <w:r>
        <w:t xml:space="preserve"> (2014), que precisamente censurou Portugal pelo não afastamento de solicitador de execução negligente.</w:t>
      </w:r>
    </w:p>
    <w:p w14:paraId="731E25AE">
      <w:pPr>
        <w:pStyle w:val="3"/>
        <w:spacing w:before="280" w:after="160"/>
      </w:pPr>
      <w:r>
        <w:rPr>
          <w:rFonts w:ascii="Arial" w:hAnsi="Arial" w:eastAsia="Arial" w:cs="Arial"/>
          <w:b/>
          <w:bCs/>
          <w:sz w:val="24"/>
          <w:szCs w:val="24"/>
        </w:rPr>
        <w:t>VIII.2  Jurisprudência TEDH directamente aplicável</w:t>
      </w:r>
    </w:p>
    <w:p w14:paraId="049F0973">
      <w:pPr>
        <w:spacing w:after="140" w:line="276" w:lineRule="auto"/>
        <w:jc w:val="both"/>
      </w:pPr>
      <w:r>
        <w:rPr>
          <w:b/>
          <w:bCs/>
        </w:rPr>
        <w:t xml:space="preserve">§44.  </w:t>
      </w:r>
      <w:r>
        <w:rPr>
          <w:i/>
          <w:iCs/>
        </w:rPr>
        <w:t>Terebus c. Portugal</w:t>
      </w:r>
      <w:r>
        <w:t xml:space="preserve"> (queixa n.º 5238/10, acórdão de 10 de Abril de 2014). Violação do art. 6.º § 1 fundada na falta de diligência do solicitador de execução e no não afastamento do mesmo pelo tribunal de execução. Aplicação simétrica e ampliada: a manutenção da AE em funções, apesar de reconhecimento documental escrito de irregularidade, configura repetição da violação censurada em Terebus.</w:t>
      </w:r>
    </w:p>
    <w:p w14:paraId="19C40D55">
      <w:pPr>
        <w:spacing w:after="140" w:line="276" w:lineRule="auto"/>
        <w:jc w:val="both"/>
      </w:pPr>
      <w:r>
        <w:rPr>
          <w:b/>
          <w:bCs/>
        </w:rPr>
        <w:t xml:space="preserve">§45.  </w:t>
      </w:r>
      <w:r>
        <w:rPr>
          <w:i/>
          <w:iCs/>
        </w:rPr>
        <w:t>Hornsby c. Grécia</w:t>
      </w:r>
      <w:r>
        <w:t xml:space="preserve"> (1997). O Estado é responsável pelo regular funcionamento dos órgãos auxiliares da administração da justiça. A delegação de poderes públicos em profissionais liberais não isenta o Estado da responsabilidade convencional pela actuação destes.</w:t>
      </w:r>
    </w:p>
    <w:p w14:paraId="03511BBF">
      <w:pPr>
        <w:pStyle w:val="3"/>
        <w:spacing w:before="280" w:after="160"/>
      </w:pPr>
      <w:r>
        <w:rPr>
          <w:rFonts w:ascii="Arial" w:hAnsi="Arial" w:eastAsia="Arial" w:cs="Arial"/>
          <w:b/>
          <w:bCs/>
          <w:sz w:val="24"/>
          <w:szCs w:val="24"/>
        </w:rPr>
        <w:t>VIII.3  Acção operacional concreta</w:t>
      </w:r>
    </w:p>
    <w:p w14:paraId="42F568DF">
      <w:pPr>
        <w:spacing w:after="120" w:line="276" w:lineRule="auto"/>
        <w:jc w:val="both"/>
      </w:pPr>
      <w:r>
        <w:rPr>
          <w:b/>
          <w:bCs/>
        </w:rPr>
        <w:t xml:space="preserve">Acção 6.1. </w:t>
      </w:r>
      <w:r>
        <w:t>Submissão à OSAE de processo disciplinar formal contra a Senhora Agente de Execução, fundado em: (i) reconhecimento documental escrito de omissão de elementos obrigatórios da citação (ofício de 20/09/2024); (ii) prática de penhoras após despacho judicial expresso de cessação (9/07/2024); (iii) duração das diligências executivas para além do termo da eficácia do título.</w:t>
      </w:r>
    </w:p>
    <w:p w14:paraId="56A816DE">
      <w:pPr>
        <w:spacing w:after="120" w:line="276" w:lineRule="auto"/>
        <w:jc w:val="both"/>
      </w:pPr>
      <w:r>
        <w:rPr>
          <w:b/>
          <w:bCs/>
        </w:rPr>
        <w:t xml:space="preserve">Acção 6.2. </w:t>
      </w:r>
      <w:r>
        <w:t>Requerimento ao Juízo de Execução de Lisboa de afastamento da AE do processo, ao abrigo dos arts. 720.º e 723.º CPC, com fundamento em quebra do dever de imparcialidade objectiva.</w:t>
      </w:r>
    </w:p>
    <w:p w14:paraId="0EAB7C31">
      <w:pPr>
        <w:spacing w:after="120" w:line="276" w:lineRule="auto"/>
        <w:jc w:val="both"/>
      </w:pPr>
      <w:r>
        <w:rPr>
          <w:b/>
          <w:bCs/>
        </w:rPr>
        <w:t xml:space="preserve">Acção 6.3. </w:t>
      </w:r>
      <w:r>
        <w:t>Inclusão, na queixa TEDH, de capítulo autónomo sobre a falência da fiscalização dos AE em Portugal, articulada com a doutrina Terebus, e pedido de medidas gerais nos termos do art. 46.º § 1 CEDH para reforço da fiscalização.</w:t>
      </w:r>
    </w:p>
    <w:p w14:paraId="7E2A8B1A">
      <w:pPr>
        <w:pageBreakBefore/>
      </w:pPr>
    </w:p>
    <w:p w14:paraId="05AB8CE3">
      <w:pPr>
        <w:pStyle w:val="2"/>
        <w:spacing w:before="360" w:after="200"/>
      </w:pPr>
      <w:r>
        <w:rPr>
          <w:rFonts w:ascii="Arial" w:hAnsi="Arial" w:eastAsia="Arial" w:cs="Arial"/>
          <w:b/>
          <w:bCs/>
          <w:sz w:val="28"/>
          <w:szCs w:val="28"/>
        </w:rPr>
        <w:t>IX.  Eixo 7 — Acesso efectivo a patrocínio em casos complexos</w:t>
      </w:r>
    </w:p>
    <w:p w14:paraId="51F885B5">
      <w:pPr>
        <w:pStyle w:val="3"/>
        <w:spacing w:before="280" w:after="160"/>
      </w:pPr>
      <w:r>
        <w:rPr>
          <w:rFonts w:ascii="Arial" w:hAnsi="Arial" w:eastAsia="Arial" w:cs="Arial"/>
          <w:b/>
          <w:bCs/>
          <w:sz w:val="24"/>
          <w:szCs w:val="24"/>
        </w:rPr>
        <w:t>IX.1  Diagnóstico</w:t>
      </w:r>
    </w:p>
    <w:p w14:paraId="5372F23F">
      <w:pPr>
        <w:spacing w:after="140" w:line="276" w:lineRule="auto"/>
        <w:jc w:val="both"/>
      </w:pPr>
      <w:r>
        <w:rPr>
          <w:b/>
          <w:bCs/>
        </w:rPr>
        <w:t xml:space="preserve">§46.  </w:t>
      </w:r>
      <w:r>
        <w:t>O queixoso, ao longo de mais de oito meses, contactou mais de vinte sociedades de advogados em Lisboa, sem êxito na constituição de mandatário forense para o conjunto dos seus processos. A sociedade de advogados FLRP, contratada inicialmente em 19 de Janeiro de 2024, cessou comunicação em 29 de Julho de 2024, não obstante oito interpelações documentadas entre Agosto de 2024 e Janeiro de 2025. Em comunicação interna de 15 de Fevereiro de 2024, a FLRP havia reconhecido expressamente a irregularidade das penhoras realizadas, concretamente verificando que estavam a ser penhorados bens sem base válida, por o tribunal ter considerado o título executivo inválido.</w:t>
      </w:r>
    </w:p>
    <w:p w14:paraId="1367B41F">
      <w:pPr>
        <w:spacing w:after="140" w:line="276" w:lineRule="auto"/>
        <w:jc w:val="both"/>
      </w:pPr>
      <w:r>
        <w:rPr>
          <w:b/>
          <w:bCs/>
        </w:rPr>
        <w:t xml:space="preserve">§47.  </w:t>
      </w:r>
      <w:r>
        <w:t>Esta circunstância — recusa sistemática de patrocínio por mais de vinte sociedades de advogados, e abandono pela única sociedade que aceitou inicialmente após reconhecimento escrito da irregularidade das penhoras — configura impossibilidade documentada de constituição de mandatário, situação juridicamente equiparável, na sua dimensão prática, à inexistência de patrocínio em sistema de assistência obrigatória.</w:t>
      </w:r>
    </w:p>
    <w:p w14:paraId="5DF890AE">
      <w:pPr>
        <w:pStyle w:val="3"/>
        <w:spacing w:before="280" w:after="160"/>
      </w:pPr>
      <w:r>
        <w:rPr>
          <w:rFonts w:ascii="Arial" w:hAnsi="Arial" w:eastAsia="Arial" w:cs="Arial"/>
          <w:b/>
          <w:bCs/>
          <w:sz w:val="24"/>
          <w:szCs w:val="24"/>
        </w:rPr>
        <w:t>IX.2  Jurisprudência TEDH directamente aplicável</w:t>
      </w:r>
    </w:p>
    <w:p w14:paraId="1B60558C">
      <w:pPr>
        <w:spacing w:after="140" w:line="276" w:lineRule="auto"/>
        <w:jc w:val="both"/>
      </w:pPr>
      <w:r>
        <w:rPr>
          <w:b/>
          <w:bCs/>
        </w:rPr>
        <w:t xml:space="preserve">§48.  </w:t>
      </w:r>
      <w:r>
        <w:rPr>
          <w:i/>
          <w:iCs/>
        </w:rPr>
        <w:t>Airey c. Irlanda</w:t>
      </w:r>
      <w:r>
        <w:t xml:space="preserve"> (queixa n.º 6289/73, acórdão de 9 de Outubro de 1979). Doutrina-pivô: «a Convenção visa garantir não direitos teóricos ou ilusórios, mas direitos práticos e efectivos» (§ 24). Em matéria civil, o art. 6.º § 1 pode impor ao Estado o dever de assegurar assistência jurídica gratuita quando esta seja indispensável para garantir acesso efectivo, à luz da complexidade do procedimento.</w:t>
      </w:r>
    </w:p>
    <w:p w14:paraId="4165F1A6">
      <w:pPr>
        <w:spacing w:after="140" w:line="276" w:lineRule="auto"/>
        <w:jc w:val="both"/>
      </w:pPr>
      <w:r>
        <w:rPr>
          <w:b/>
          <w:bCs/>
        </w:rPr>
        <w:t xml:space="preserve">§49.  </w:t>
      </w:r>
      <w:r>
        <w:rPr>
          <w:i/>
          <w:iCs/>
        </w:rPr>
        <w:t>Bertuzzi c. França</w:t>
      </w:r>
      <w:r>
        <w:t xml:space="preserve"> (queixa n.º 36378/97, acórdão de 13 de Fevereiro de 2003). Violação do art. 6.º § 1 quando, em processo civil contra um magistrado, três advogados nomeados oficiosamente recusaram sucessivamente o patrocínio invocando solidariedade profissional, sem que o sistema interno providenciasse alternativa. Aplicação directa: a recusa sistemática de patrocínio em casos contra agentes do sistema de justiça gera obrigação positiva do Estado de prover alternativa.</w:t>
      </w:r>
    </w:p>
    <w:p w14:paraId="523BA9A6">
      <w:pPr>
        <w:spacing w:after="140" w:line="276" w:lineRule="auto"/>
        <w:jc w:val="both"/>
      </w:pPr>
      <w:r>
        <w:rPr>
          <w:b/>
          <w:bCs/>
        </w:rPr>
        <w:t xml:space="preserve">§50.  </w:t>
      </w:r>
      <w:r>
        <w:rPr>
          <w:i/>
          <w:iCs/>
        </w:rPr>
        <w:t>Steel e Morris c. Reino Unido</w:t>
      </w:r>
      <w:r>
        <w:t xml:space="preserve"> (queixa n.º 68416/01, acórdão de 15 de Fevereiro de 2005). O regime de apoio judiciário deve permitir, à luz da complexidade do litígio e da posição económica e social da parte, a apresentação efectiva da causa perante o tribunal.</w:t>
      </w:r>
    </w:p>
    <w:p w14:paraId="198DC01D">
      <w:pPr>
        <w:pStyle w:val="3"/>
        <w:spacing w:before="280" w:after="160"/>
      </w:pPr>
      <w:r>
        <w:rPr>
          <w:rFonts w:ascii="Arial" w:hAnsi="Arial" w:eastAsia="Arial" w:cs="Arial"/>
          <w:b/>
          <w:bCs/>
          <w:sz w:val="24"/>
          <w:szCs w:val="24"/>
        </w:rPr>
        <w:t>IX.3  Indicador institucional CCBE 2025</w:t>
      </w:r>
    </w:p>
    <w:p w14:paraId="7E782E7D">
      <w:pPr>
        <w:spacing w:after="140" w:line="276" w:lineRule="auto"/>
        <w:jc w:val="both"/>
      </w:pPr>
      <w:r>
        <w:rPr>
          <w:b/>
          <w:bCs/>
        </w:rPr>
        <w:t xml:space="preserve">§51.  </w:t>
      </w:r>
      <w:r>
        <w:t>O Conselho dos Bastonários Europeus (CCBE), no contributo escrito ao 2025 Rule of Law Report — Country Chapter Portugal (p. 162), referiu preocupações concretas com o impacto das alterações legislativas de Setembro de 2024 na autonomia da Ordem dos Advogados portuguesa e na qualidade do apoio judiciário. O EU Justice Scoreboard 2025 (Figura 25) coloca Portugal entre os Estados-Membros com mais baixa remuneração de profissionais em apoio judiciário, factor identificado como causa estrutural de baixa adesão dos advogados ao regime.</w:t>
      </w:r>
    </w:p>
    <w:p w14:paraId="1D7594DB">
      <w:pPr>
        <w:pStyle w:val="3"/>
        <w:spacing w:before="280" w:after="160"/>
      </w:pPr>
      <w:r>
        <w:rPr>
          <w:rFonts w:ascii="Arial" w:hAnsi="Arial" w:eastAsia="Arial" w:cs="Arial"/>
          <w:b/>
          <w:bCs/>
          <w:sz w:val="24"/>
          <w:szCs w:val="24"/>
        </w:rPr>
        <w:t>IX.4  Acção operacional concreta</w:t>
      </w:r>
    </w:p>
    <w:p w14:paraId="68A7C922">
      <w:pPr>
        <w:spacing w:after="120" w:line="276" w:lineRule="auto"/>
        <w:jc w:val="both"/>
      </w:pPr>
      <w:r>
        <w:rPr>
          <w:b/>
          <w:bCs/>
        </w:rPr>
        <w:t xml:space="preserve">Acção 7.1. </w:t>
      </w:r>
      <w:r>
        <w:t>Reactivação do pedido de protecção jurídica junto do Instituto da Segurança Social (ISS), com fundamento na complexidade técnica documentada (sete frentes processuais paralelas) e na recusa sistemática anteriormente verificada, ao abrigo do art. 10.º do regime aplicável.</w:t>
      </w:r>
    </w:p>
    <w:p w14:paraId="75BFB81C">
      <w:pPr>
        <w:spacing w:after="120" w:line="276" w:lineRule="auto"/>
        <w:jc w:val="both"/>
      </w:pPr>
      <w:r>
        <w:rPr>
          <w:b/>
          <w:bCs/>
        </w:rPr>
        <w:t xml:space="preserve">Acção 7.2. </w:t>
      </w:r>
      <w:r>
        <w:t>Em paralelo, contacto directo com sociedades de advogados especializadas em direito convencional e contencioso TEDH, designadamente as identificadas como detentoras de prática consolidada perante o Tribunal Europeu, para constituição de mandatário específico para a queixa TEDH.</w:t>
      </w:r>
    </w:p>
    <w:p w14:paraId="3C2C212C">
      <w:pPr>
        <w:spacing w:after="120" w:line="276" w:lineRule="auto"/>
        <w:jc w:val="both"/>
      </w:pPr>
      <w:r>
        <w:rPr>
          <w:b/>
          <w:bCs/>
        </w:rPr>
        <w:t xml:space="preserve">Acção 7.3. </w:t>
      </w:r>
      <w:r>
        <w:t>Inclusão, na queixa TEDH, de pedido de apoio judiciário convencional ao abrigo do regime aplicável perante o Venerando Tribunal, com remissão para a documentação da recusa sistemática.</w:t>
      </w:r>
    </w:p>
    <w:p w14:paraId="2837DFAD">
      <w:pPr>
        <w:spacing w:after="120" w:line="276" w:lineRule="auto"/>
        <w:jc w:val="both"/>
      </w:pPr>
      <w:r>
        <w:rPr>
          <w:b/>
          <w:bCs/>
        </w:rPr>
        <w:t xml:space="preserve">Acção 7.4. </w:t>
      </w:r>
      <w:r>
        <w:t>Comunicação à Ordem dos Advogados, em formato cordial e factual, de pedido de informação sobre os mecanismos institucionais de resposta a casos de recusa sistemática de patrocínio em situações de impossibilidade documentada.</w:t>
      </w:r>
    </w:p>
    <w:p w14:paraId="160BDAE3">
      <w:pPr>
        <w:pageBreakBefore/>
      </w:pPr>
    </w:p>
    <w:p w14:paraId="309AF81F">
      <w:pPr>
        <w:pStyle w:val="2"/>
        <w:spacing w:before="360" w:after="200"/>
      </w:pPr>
      <w:r>
        <w:rPr>
          <w:rFonts w:ascii="Arial" w:hAnsi="Arial" w:eastAsia="Arial" w:cs="Arial"/>
          <w:b/>
          <w:bCs/>
          <w:sz w:val="28"/>
          <w:szCs w:val="28"/>
        </w:rPr>
        <w:t>X.  Eixo 8 — Tratamento sistémico via TEDH (acórdão-piloto)</w:t>
      </w:r>
    </w:p>
    <w:p w14:paraId="59F66E09">
      <w:pPr>
        <w:pStyle w:val="3"/>
        <w:spacing w:before="280" w:after="160"/>
      </w:pPr>
      <w:r>
        <w:rPr>
          <w:rFonts w:ascii="Arial" w:hAnsi="Arial" w:eastAsia="Arial" w:cs="Arial"/>
          <w:b/>
          <w:bCs/>
          <w:sz w:val="24"/>
          <w:szCs w:val="24"/>
        </w:rPr>
        <w:t>X.1  Fundamento — a doutrina do acórdão-piloto</w:t>
      </w:r>
    </w:p>
    <w:p w14:paraId="1EC9D598">
      <w:pPr>
        <w:spacing w:after="140" w:line="276" w:lineRule="auto"/>
        <w:jc w:val="both"/>
      </w:pPr>
      <w:r>
        <w:rPr>
          <w:b/>
          <w:bCs/>
        </w:rPr>
        <w:t xml:space="preserve">§52.  </w:t>
      </w:r>
      <w:r>
        <w:rPr>
          <w:i/>
          <w:iCs/>
        </w:rPr>
        <w:t>Broniowski c. Polónia</w:t>
      </w:r>
      <w:r>
        <w:t xml:space="preserve"> [GC] (queixa n.º 31443/96, acórdão de 22 de Junho de 2004, § 189 e ss.). Foi neste acórdão que o TEDH formalizou o procedimento de acórdão-piloto, identificando uma «falha sistémica ou estrutural» na ordem jurídica polaca que afectava potencialmente cerca de 80.000 pessoas. O acórdão obrigou o Estado a adoptar medidas gerais ao abrigo do art. 46.º § 1, e o TEDH adjornou a apreciação dos cerca de 167 casos similares.</w:t>
      </w:r>
    </w:p>
    <w:p w14:paraId="05ED3F0A">
      <w:pPr>
        <w:spacing w:after="140" w:line="276" w:lineRule="auto"/>
        <w:jc w:val="both"/>
      </w:pPr>
      <w:r>
        <w:rPr>
          <w:b/>
          <w:bCs/>
        </w:rPr>
        <w:t xml:space="preserve">§53.  </w:t>
      </w:r>
      <w:r>
        <w:rPr>
          <w:i/>
          <w:iCs/>
        </w:rPr>
        <w:t>Rutkowski e Outros c. Polónia</w:t>
      </w:r>
      <w:r>
        <w:t xml:space="preserve"> (queixas n.os 72287/10, 13927/11 e 46187/11, acórdão-piloto de 7 de Julho de 2015). Transposição da doutrina Broniowski para o domínio específico da duração excessiva dos processos. O TEDH constatou: (i) existência de problema sistémico em duração de processos polacos; (ii) inadequação do recurso compensatório nacional; (iii) ordem ao Estado para implementar medidas legislativas e práticas abrangentes em prazo de dois anos.</w:t>
      </w:r>
    </w:p>
    <w:p w14:paraId="2A24D434">
      <w:pPr>
        <w:pStyle w:val="3"/>
        <w:spacing w:before="280" w:after="160"/>
      </w:pPr>
      <w:r>
        <w:rPr>
          <w:rFonts w:ascii="Arial" w:hAnsi="Arial" w:eastAsia="Arial" w:cs="Arial"/>
          <w:b/>
          <w:bCs/>
          <w:sz w:val="24"/>
          <w:szCs w:val="24"/>
        </w:rPr>
        <w:t>X.2  Critérios de identificação da violação sistémica</w:t>
      </w:r>
    </w:p>
    <w:p w14:paraId="1D1330EE">
      <w:pPr>
        <w:spacing w:after="140" w:line="276" w:lineRule="auto"/>
        <w:jc w:val="both"/>
      </w:pPr>
      <w:r>
        <w:rPr>
          <w:b/>
          <w:bCs/>
        </w:rPr>
        <w:t xml:space="preserve">§54.  </w:t>
      </w:r>
      <w:r>
        <w:t>A leitura conjugada de Broniowski (§§ 189-194), Hutten-Czapska c. Polónia [GC] (2006, § 235), Rutkowski (2015) e Burmych e Outros c. Ucrânia [GC] (2017) permite extrair critérios cumulativos para identificação de violação sistémica:</w:t>
      </w:r>
    </w:p>
    <w:p w14:paraId="712B9696">
      <w:pPr>
        <w:pStyle w:val="16"/>
        <w:numPr>
          <w:ilvl w:val="0"/>
          <w:numId w:val="1"/>
        </w:numPr>
        <w:spacing w:after="80" w:line="276" w:lineRule="auto"/>
        <w:jc w:val="both"/>
      </w:pPr>
      <w:r>
        <w:t>Repetição em múltiplos processos com identidade substancial de factos e direito;</w:t>
      </w:r>
    </w:p>
    <w:p w14:paraId="29559821">
      <w:pPr>
        <w:pStyle w:val="16"/>
        <w:numPr>
          <w:ilvl w:val="0"/>
          <w:numId w:val="1"/>
        </w:numPr>
        <w:spacing w:after="80" w:line="276" w:lineRule="auto"/>
        <w:jc w:val="both"/>
      </w:pPr>
      <w:r>
        <w:t>Fonte estrutural — lei, prática administrativa ou organização judiciária;</w:t>
      </w:r>
    </w:p>
    <w:p w14:paraId="0725A606">
      <w:pPr>
        <w:pStyle w:val="16"/>
        <w:numPr>
          <w:ilvl w:val="0"/>
          <w:numId w:val="1"/>
        </w:numPr>
        <w:spacing w:after="80" w:line="276" w:lineRule="auto"/>
        <w:jc w:val="both"/>
      </w:pPr>
      <w:r>
        <w:t>Número significativo de queixas em curso no Tribunal;</w:t>
      </w:r>
    </w:p>
    <w:p w14:paraId="4F489EE5">
      <w:pPr>
        <w:pStyle w:val="16"/>
        <w:numPr>
          <w:ilvl w:val="0"/>
          <w:numId w:val="1"/>
        </w:numPr>
        <w:spacing w:after="80" w:line="276" w:lineRule="auto"/>
        <w:jc w:val="both"/>
      </w:pPr>
      <w:r>
        <w:t>Conduta passiva ou ineficaz do Estado apesar de constatações anteriores;</w:t>
      </w:r>
    </w:p>
    <w:p w14:paraId="45D33760">
      <w:pPr>
        <w:pStyle w:val="16"/>
        <w:numPr>
          <w:ilvl w:val="0"/>
          <w:numId w:val="1"/>
        </w:numPr>
        <w:spacing w:after="80" w:line="276" w:lineRule="auto"/>
        <w:jc w:val="both"/>
      </w:pPr>
      <w:r>
        <w:t>Falência de recursos internos existentes em teoria.</w:t>
      </w:r>
    </w:p>
    <w:p w14:paraId="3B17D446">
      <w:pPr>
        <w:pStyle w:val="3"/>
        <w:spacing w:before="280" w:after="160"/>
      </w:pPr>
      <w:r>
        <w:rPr>
          <w:rFonts w:ascii="Arial" w:hAnsi="Arial" w:eastAsia="Arial" w:cs="Arial"/>
          <w:b/>
          <w:bCs/>
          <w:sz w:val="24"/>
          <w:szCs w:val="24"/>
        </w:rPr>
        <w:t>X.3  Aplicação ao caso</w:t>
      </w:r>
    </w:p>
    <w:p w14:paraId="558A4C9B">
      <w:pPr>
        <w:spacing w:after="140" w:line="276" w:lineRule="auto"/>
        <w:jc w:val="both"/>
      </w:pPr>
      <w:r>
        <w:rPr>
          <w:b/>
          <w:bCs/>
        </w:rPr>
        <w:t xml:space="preserve">§55.  </w:t>
      </w:r>
      <w:r>
        <w:t>Os cinco critérios encontram-se preenchidos no caso documentado:</w:t>
      </w:r>
    </w:p>
    <w:p w14:paraId="0735B7A2">
      <w:pPr>
        <w:spacing w:after="120" w:line="276" w:lineRule="auto"/>
        <w:jc w:val="both"/>
      </w:pPr>
      <w:r>
        <w:rPr>
          <w:b/>
          <w:bCs/>
        </w:rPr>
        <w:t xml:space="preserve">Critério 1 — Repetição: </w:t>
      </w:r>
      <w:r>
        <w:t>padrão idêntico de notificação defeituosa, manutenção de constrições sobre títulos contestados e duração excessiva em sete processos paralelos do mesmo queixoso.</w:t>
      </w:r>
    </w:p>
    <w:p w14:paraId="1B155A42">
      <w:pPr>
        <w:spacing w:after="120" w:line="276" w:lineRule="auto"/>
        <w:jc w:val="both"/>
      </w:pPr>
      <w:r>
        <w:rPr>
          <w:b/>
          <w:bCs/>
        </w:rPr>
        <w:t xml:space="preserve">Critério 2 — Fonte estrutural: </w:t>
      </w:r>
      <w:r>
        <w:t>regime processual de citação em terceira pessoa (art. 232.º CPC); regime de fiscalização dos AE (DL 226/2008); regime de apoio judiciário (Lei 34/2004); ausência de mecanismo automático de bloqueio de execução após indeferimento liminar.</w:t>
      </w:r>
    </w:p>
    <w:p w14:paraId="2301D8EA">
      <w:pPr>
        <w:spacing w:after="120" w:line="276" w:lineRule="auto"/>
        <w:jc w:val="both"/>
      </w:pPr>
      <w:r>
        <w:rPr>
          <w:b/>
          <w:bCs/>
        </w:rPr>
        <w:t xml:space="preserve">Critério 3 — Número significativo de queixas: </w:t>
      </w:r>
      <w:r>
        <w:t>Carreto Ribeiro c. Portugal (2024), Oliveira Modesto e Outros c. Portugal (2019), Sociedade de Construções Martins &amp; Vieira c. Portugal (2014), Pinto Pinheiro Marques c. Portugal (2015), Companhia Agrícola da Apariça c. Portugal (2015), Meggi Cala c. Portugal (2016), Terebus c. Portugal (2014) — sequência ininterrupta de condenações sobre matérias substancialmente idênticas.</w:t>
      </w:r>
    </w:p>
    <w:p w14:paraId="750B4960">
      <w:pPr>
        <w:spacing w:after="120" w:line="276" w:lineRule="auto"/>
        <w:jc w:val="both"/>
      </w:pPr>
      <w:r>
        <w:rPr>
          <w:b/>
          <w:bCs/>
        </w:rPr>
        <w:t xml:space="preserve">Critério 4 — Conduta passiva apesar de constatações: </w:t>
      </w:r>
      <w:r>
        <w:t>o Comité de Ministros do Conselho da Europa mantém Portugal sob supervisão reforçada pela duração excessiva de processos cíveis e administrativos, conforme expressamente registado no 2025 Rule of Law Report — Country Chapter Portugal, p. 7.</w:t>
      </w:r>
    </w:p>
    <w:p w14:paraId="0E44810C">
      <w:pPr>
        <w:spacing w:after="120" w:line="276" w:lineRule="auto"/>
        <w:jc w:val="both"/>
      </w:pPr>
      <w:r>
        <w:rPr>
          <w:b/>
          <w:bCs/>
        </w:rPr>
        <w:t xml:space="preserve">Critério 5 — Falência de recursos internos: </w:t>
      </w:r>
      <w:r>
        <w:t>a doutrina Martins Castro c. Portugal (2008) declarou inicialmente a inefectividade do recurso interno; Valada Matos das Neves c. Portugal (2015) considerou-o eficaz a partir de 27 de Maio de 2014; Carreto Ribeiro c. Portugal (2024) demonstra a manutenção da inefectividade prática do recurso interno.</w:t>
      </w:r>
    </w:p>
    <w:p w14:paraId="512699AA">
      <w:pPr>
        <w:pStyle w:val="3"/>
        <w:spacing w:before="280" w:after="160"/>
      </w:pPr>
      <w:r>
        <w:rPr>
          <w:rFonts w:ascii="Arial" w:hAnsi="Arial" w:eastAsia="Arial" w:cs="Arial"/>
          <w:b/>
          <w:bCs/>
          <w:sz w:val="24"/>
          <w:szCs w:val="24"/>
        </w:rPr>
        <w:t>X.4  Estrutura da queixa TEDH</w:t>
      </w:r>
    </w:p>
    <w:p w14:paraId="03870658">
      <w:pPr>
        <w:spacing w:after="140" w:line="276" w:lineRule="auto"/>
        <w:jc w:val="both"/>
      </w:pPr>
      <w:r>
        <w:rPr>
          <w:b/>
          <w:bCs/>
        </w:rPr>
        <w:t xml:space="preserve">§56.  </w:t>
      </w:r>
      <w:r>
        <w:t>A queixa será estruturada em três blocos articulados: (i) bloco principal — pedido individual de declaração de violação dos arts. 6.º § 1, 13.º, 8.º e 1.º P1; (ii) bloco subsidiário — pedido de tratamento como caso paradigma representativo de problema sistémico, ao abrigo da Resolução Res(2004)3 do Comité de Ministros; (iii) bloco de medidas — pedido de medidas individuais (cessação imediata das penhoras) e medidas gerais (reforma do regime de citação, do regime de fiscalização dos AE, e do regime de apoio judiciário).</w:t>
      </w:r>
    </w:p>
    <w:p w14:paraId="18644F5F">
      <w:pPr>
        <w:pStyle w:val="3"/>
        <w:spacing w:before="280" w:after="160"/>
      </w:pPr>
      <w:r>
        <w:rPr>
          <w:rFonts w:ascii="Arial" w:hAnsi="Arial" w:eastAsia="Arial" w:cs="Arial"/>
          <w:b/>
          <w:bCs/>
          <w:sz w:val="24"/>
          <w:szCs w:val="24"/>
        </w:rPr>
        <w:t>X.5  Acção operacional concreta</w:t>
      </w:r>
    </w:p>
    <w:p w14:paraId="17B34F82">
      <w:pPr>
        <w:spacing w:after="120" w:line="276" w:lineRule="auto"/>
        <w:jc w:val="both"/>
      </w:pPr>
      <w:r>
        <w:rPr>
          <w:b/>
          <w:bCs/>
        </w:rPr>
        <w:t xml:space="preserve">Acção 8.1. </w:t>
      </w:r>
      <w:r>
        <w:t>Compilação integral do dossier convencional segundo a estrutura da exposição complementar ao formulário oficial TEDH, com numeração contínua de parágrafos e identificação clara de cada anexo.</w:t>
      </w:r>
    </w:p>
    <w:p w14:paraId="710EACAE">
      <w:pPr>
        <w:spacing w:after="120" w:line="276" w:lineRule="auto"/>
        <w:jc w:val="both"/>
      </w:pPr>
      <w:r>
        <w:rPr>
          <w:b/>
          <w:bCs/>
        </w:rPr>
        <w:t xml:space="preserve">Acção 8.2. </w:t>
      </w:r>
      <w:r>
        <w:t>Preenchimento do Application Form oficial do TEDH, acompanhado da exposição complementar (limite 20 páginas) e dos anexos numerados.</w:t>
      </w:r>
    </w:p>
    <w:p w14:paraId="2B556475">
      <w:pPr>
        <w:spacing w:after="120" w:line="276" w:lineRule="auto"/>
        <w:jc w:val="both"/>
      </w:pPr>
      <w:r>
        <w:rPr>
          <w:b/>
          <w:bCs/>
        </w:rPr>
        <w:t xml:space="preserve">Acção 8.3. </w:t>
      </w:r>
      <w:r>
        <w:t>Submissão por correio registado para o endereço oficial: European Court of Human Rights, Council of Europe, F-67075 Strasbourg cedex, France. Carimbo dos correios é a data relevante para o prazo de quatro meses.</w:t>
      </w:r>
    </w:p>
    <w:p w14:paraId="1C41E010">
      <w:pPr>
        <w:spacing w:after="120" w:line="276" w:lineRule="auto"/>
        <w:jc w:val="both"/>
      </w:pPr>
      <w:r>
        <w:rPr>
          <w:b/>
          <w:bCs/>
        </w:rPr>
        <w:t xml:space="preserve">Acção 8.4. </w:t>
      </w:r>
      <w:r>
        <w:t>Após registo, pedido de apoio judiciário convencional, demonstrando insuficiência económica decorrente das constrições patrimoniais documentadas.</w:t>
      </w:r>
    </w:p>
    <w:p w14:paraId="7AD0CA68">
      <w:pPr>
        <w:pageBreakBefore/>
      </w:pPr>
    </w:p>
    <w:p w14:paraId="168EC2AF">
      <w:pPr>
        <w:pStyle w:val="2"/>
        <w:spacing w:before="360" w:after="200"/>
      </w:pPr>
      <w:r>
        <w:rPr>
          <w:rFonts w:ascii="Arial" w:hAnsi="Arial" w:eastAsia="Arial" w:cs="Arial"/>
          <w:b/>
          <w:bCs/>
          <w:sz w:val="28"/>
          <w:szCs w:val="28"/>
        </w:rPr>
        <w:t>XI.  Cronograma operacional integrado</w:t>
      </w:r>
    </w:p>
    <w:p w14:paraId="48D33584">
      <w:pPr>
        <w:pStyle w:val="3"/>
        <w:spacing w:before="280" w:after="160"/>
      </w:pPr>
      <w:r>
        <w:rPr>
          <w:rFonts w:ascii="Arial" w:hAnsi="Arial" w:eastAsia="Arial" w:cs="Arial"/>
          <w:b/>
          <w:bCs/>
          <w:sz w:val="24"/>
          <w:szCs w:val="24"/>
        </w:rPr>
        <w:t>Janela 1 — Acções imediatas (próximas duas semanas)</w:t>
      </w:r>
    </w:p>
    <w:p w14:paraId="3E4C11B8">
      <w:pPr>
        <w:pStyle w:val="16"/>
        <w:numPr>
          <w:ilvl w:val="0"/>
          <w:numId w:val="1"/>
        </w:numPr>
        <w:spacing w:after="80" w:line="276" w:lineRule="auto"/>
        <w:jc w:val="both"/>
      </w:pPr>
      <w:r>
        <w:t>Recurso de Revista para o STJ no P_3719 — prazo até 17 de Maio de 2026 — com invocação expressa dos arts. 6.º § 1 + 8.º CEDH + 1.º P1.</w:t>
      </w:r>
    </w:p>
    <w:p w14:paraId="453629F7">
      <w:pPr>
        <w:pStyle w:val="16"/>
        <w:numPr>
          <w:ilvl w:val="0"/>
          <w:numId w:val="1"/>
        </w:numPr>
        <w:spacing w:after="80" w:line="276" w:lineRule="auto"/>
        <w:jc w:val="both"/>
      </w:pPr>
      <w:r>
        <w:t>Avaliação do Recurso de Revista no P_23142, mesmo com risco de inadmissibilidade pela alçada, em ordem ao esgotamento.</w:t>
      </w:r>
    </w:p>
    <w:p w14:paraId="65D438AE">
      <w:pPr>
        <w:pStyle w:val="16"/>
        <w:numPr>
          <w:ilvl w:val="0"/>
          <w:numId w:val="1"/>
        </w:numPr>
        <w:spacing w:after="80" w:line="276" w:lineRule="auto"/>
        <w:jc w:val="both"/>
      </w:pPr>
      <w:r>
        <w:t>Submissão de denúncia escrita ao DIAP de Lisboa por correio registado, com cópia integral da documentação de 7 de Dezembro de 2025.</w:t>
      </w:r>
    </w:p>
    <w:p w14:paraId="42C73B3D">
      <w:pPr>
        <w:pStyle w:val="16"/>
        <w:numPr>
          <w:ilvl w:val="0"/>
          <w:numId w:val="1"/>
        </w:numPr>
        <w:spacing w:after="80" w:line="276" w:lineRule="auto"/>
        <w:jc w:val="both"/>
      </w:pPr>
      <w:r>
        <w:t>Submissão de reclamação à IGAI e à IGSJ sobre o procedimento da PJ no dia 7 de Dezembro de 2025.</w:t>
      </w:r>
    </w:p>
    <w:p w14:paraId="1AF06F94">
      <w:pPr>
        <w:pStyle w:val="16"/>
        <w:numPr>
          <w:ilvl w:val="0"/>
          <w:numId w:val="1"/>
        </w:numPr>
        <w:spacing w:after="80" w:line="276" w:lineRule="auto"/>
        <w:jc w:val="both"/>
      </w:pPr>
      <w:r>
        <w:t>Apresentação de requerimento ao Juízo de Execução para anulação de penhoras e restituição.</w:t>
      </w:r>
    </w:p>
    <w:p w14:paraId="695E386B">
      <w:pPr>
        <w:pStyle w:val="3"/>
        <w:spacing w:before="280" w:after="160"/>
      </w:pPr>
      <w:r>
        <w:rPr>
          <w:rFonts w:ascii="Arial" w:hAnsi="Arial" w:eastAsia="Arial" w:cs="Arial"/>
          <w:b/>
          <w:bCs/>
          <w:sz w:val="24"/>
          <w:szCs w:val="24"/>
        </w:rPr>
        <w:t>Janela 2 — Acções de médio prazo (próximos três meses)</w:t>
      </w:r>
    </w:p>
    <w:p w14:paraId="0CEB762B">
      <w:pPr>
        <w:pStyle w:val="16"/>
        <w:numPr>
          <w:ilvl w:val="0"/>
          <w:numId w:val="1"/>
        </w:numPr>
        <w:spacing w:after="80" w:line="276" w:lineRule="auto"/>
        <w:jc w:val="both"/>
      </w:pPr>
      <w:r>
        <w:t>Construção do dossier convencional unificado para a queixa TEDH, com cronologia exaustiva e mapeamento de provas.</w:t>
      </w:r>
    </w:p>
    <w:p w14:paraId="1F50E4E0">
      <w:pPr>
        <w:pStyle w:val="16"/>
        <w:numPr>
          <w:ilvl w:val="0"/>
          <w:numId w:val="1"/>
        </w:numPr>
        <w:spacing w:after="80" w:line="276" w:lineRule="auto"/>
        <w:jc w:val="both"/>
      </w:pPr>
      <w:r>
        <w:t>Reactivação do pedido de protecção jurídica junto do ISS.</w:t>
      </w:r>
    </w:p>
    <w:p w14:paraId="737E429B">
      <w:pPr>
        <w:pStyle w:val="16"/>
        <w:numPr>
          <w:ilvl w:val="0"/>
          <w:numId w:val="1"/>
        </w:numPr>
        <w:spacing w:after="80" w:line="276" w:lineRule="auto"/>
        <w:jc w:val="both"/>
      </w:pPr>
      <w:r>
        <w:t>Contacto com sociedades de advogados especializadas em direito convencional para constituição de mandatário TEDH.</w:t>
      </w:r>
    </w:p>
    <w:p w14:paraId="2CF3BF47">
      <w:pPr>
        <w:pStyle w:val="16"/>
        <w:numPr>
          <w:ilvl w:val="0"/>
          <w:numId w:val="1"/>
        </w:numPr>
        <w:spacing w:after="80" w:line="276" w:lineRule="auto"/>
        <w:jc w:val="both"/>
      </w:pPr>
      <w:r>
        <w:t>Submissão à OSAE de processo disciplinar contra a Senhora Agente de Execução.</w:t>
      </w:r>
    </w:p>
    <w:p w14:paraId="0D77D378">
      <w:pPr>
        <w:pStyle w:val="16"/>
        <w:numPr>
          <w:ilvl w:val="0"/>
          <w:numId w:val="1"/>
        </w:numPr>
        <w:spacing w:after="80" w:line="276" w:lineRule="auto"/>
        <w:jc w:val="both"/>
      </w:pPr>
      <w:r>
        <w:t>Submissão ao Provedor de Justiça de pedido de investigação sobre a falha estrutural.</w:t>
      </w:r>
    </w:p>
    <w:p w14:paraId="0401AE71">
      <w:pPr>
        <w:pStyle w:val="3"/>
        <w:spacing w:before="280" w:after="160"/>
      </w:pPr>
      <w:r>
        <w:rPr>
          <w:rFonts w:ascii="Arial" w:hAnsi="Arial" w:eastAsia="Arial" w:cs="Arial"/>
          <w:b/>
          <w:bCs/>
          <w:sz w:val="24"/>
          <w:szCs w:val="24"/>
        </w:rPr>
        <w:t>Janela 3 — Acções de longo prazo (próximos doze a trinta e seis meses)</w:t>
      </w:r>
    </w:p>
    <w:p w14:paraId="63A07F3E">
      <w:pPr>
        <w:pStyle w:val="16"/>
        <w:numPr>
          <w:ilvl w:val="0"/>
          <w:numId w:val="1"/>
        </w:numPr>
        <w:spacing w:after="80" w:line="276" w:lineRule="auto"/>
        <w:jc w:val="both"/>
      </w:pPr>
      <w:r>
        <w:t>Submissão da queixa TEDH dentro do prazo de quatro meses contado da decisão final do STJ ou do esgotamento da via.</w:t>
      </w:r>
    </w:p>
    <w:p w14:paraId="270637CF">
      <w:pPr>
        <w:pStyle w:val="16"/>
        <w:numPr>
          <w:ilvl w:val="0"/>
          <w:numId w:val="1"/>
        </w:numPr>
        <w:spacing w:after="80" w:line="276" w:lineRule="auto"/>
        <w:jc w:val="both"/>
      </w:pPr>
      <w:r>
        <w:t>Pedido de apoio judiciário convencional após registo da queixa.</w:t>
      </w:r>
    </w:p>
    <w:p w14:paraId="3C34BA23">
      <w:pPr>
        <w:pStyle w:val="16"/>
        <w:numPr>
          <w:ilvl w:val="0"/>
          <w:numId w:val="1"/>
        </w:numPr>
        <w:spacing w:after="80" w:line="276" w:lineRule="auto"/>
        <w:jc w:val="both"/>
      </w:pPr>
      <w:r>
        <w:t>Acompanhamento da supervisão pelo Comité de Ministros do Conselho da Europa, com submissões adicionais (Rule 9 do Regulamento) sempre que pertinente.</w:t>
      </w:r>
    </w:p>
    <w:p w14:paraId="0288EDD3">
      <w:pPr>
        <w:pStyle w:val="16"/>
        <w:numPr>
          <w:ilvl w:val="0"/>
          <w:numId w:val="1"/>
        </w:numPr>
        <w:spacing w:after="80" w:line="276" w:lineRule="auto"/>
        <w:jc w:val="both"/>
      </w:pPr>
      <w:r>
        <w:t>Implementação ou divulgação pública das propostas técnicas dos Eixos 2, 3 e 4 junto do Conselho Superior da Magistratura, Procuradoria-Geral da República, Ministério da Justiça e meios académicos especializados.</w:t>
      </w:r>
    </w:p>
    <w:p w14:paraId="6D46C9E8">
      <w:pPr>
        <w:pageBreakBefore/>
      </w:pPr>
    </w:p>
    <w:p w14:paraId="0866509D">
      <w:pPr>
        <w:pStyle w:val="2"/>
        <w:spacing w:before="360" w:after="200"/>
      </w:pPr>
      <w:r>
        <w:rPr>
          <w:rFonts w:ascii="Arial" w:hAnsi="Arial" w:eastAsia="Arial" w:cs="Arial"/>
          <w:b/>
          <w:bCs/>
          <w:sz w:val="28"/>
          <w:szCs w:val="28"/>
        </w:rPr>
        <w:t>XII.  Lista exaustiva de provas e documentos</w:t>
      </w:r>
    </w:p>
    <w:p w14:paraId="64010456">
      <w:pPr>
        <w:pStyle w:val="3"/>
        <w:spacing w:before="280" w:after="160"/>
      </w:pPr>
      <w:r>
        <w:rPr>
          <w:rFonts w:ascii="Arial" w:hAnsi="Arial" w:eastAsia="Arial" w:cs="Arial"/>
          <w:b/>
          <w:bCs/>
          <w:sz w:val="24"/>
          <w:szCs w:val="24"/>
        </w:rPr>
        <w:t>XII.1  Decisões judiciais</w:t>
      </w:r>
    </w:p>
    <w:p w14:paraId="4FCF92E5">
      <w:pPr>
        <w:pStyle w:val="16"/>
        <w:numPr>
          <w:ilvl w:val="0"/>
          <w:numId w:val="1"/>
        </w:numPr>
        <w:spacing w:after="80" w:line="276" w:lineRule="auto"/>
        <w:jc w:val="both"/>
      </w:pPr>
      <w:r>
        <w:t>ANEXO 1 — Despacho de indeferimento liminar P_23142 de 16 de Março de 2023 (ref. Citius 419855940).</w:t>
      </w:r>
    </w:p>
    <w:p w14:paraId="33E8D082">
      <w:pPr>
        <w:pStyle w:val="16"/>
        <w:numPr>
          <w:ilvl w:val="0"/>
          <w:numId w:val="1"/>
        </w:numPr>
        <w:spacing w:after="80" w:line="276" w:lineRule="auto"/>
        <w:jc w:val="both"/>
      </w:pPr>
      <w:r>
        <w:t>ANEXO 2 — Acórdão TRL P_23142.L1 de 19 de Março de 2026 (refs. 24364999, 24437559).</w:t>
      </w:r>
    </w:p>
    <w:p w14:paraId="2BED4455">
      <w:pPr>
        <w:pStyle w:val="16"/>
        <w:numPr>
          <w:ilvl w:val="0"/>
          <w:numId w:val="1"/>
        </w:numPr>
        <w:spacing w:after="80" w:line="276" w:lineRule="auto"/>
        <w:jc w:val="both"/>
      </w:pPr>
      <w:r>
        <w:t>ANEXO 3 — Despacho de abstenção de diligências P_23142 de 9 de Julho de 2024 (ref. 436992744).</w:t>
      </w:r>
    </w:p>
    <w:p w14:paraId="350D2774">
      <w:pPr>
        <w:pStyle w:val="16"/>
        <w:numPr>
          <w:ilvl w:val="0"/>
          <w:numId w:val="1"/>
        </w:numPr>
        <w:spacing w:after="80" w:line="276" w:lineRule="auto"/>
        <w:jc w:val="both"/>
      </w:pPr>
      <w:r>
        <w:t>ANEXO 4 — Despacho de prejudicialidade P_23142 de 13 de Outubro de 2025 (ref. 448881152).</w:t>
      </w:r>
    </w:p>
    <w:p w14:paraId="67E0E11F">
      <w:pPr>
        <w:pStyle w:val="16"/>
        <w:numPr>
          <w:ilvl w:val="0"/>
          <w:numId w:val="1"/>
        </w:numPr>
        <w:spacing w:after="80" w:line="276" w:lineRule="auto"/>
        <w:jc w:val="both"/>
      </w:pPr>
      <w:r>
        <w:t>ANEXO 5 — Despacho final P_3719 de 27 de Janeiro de 2026 (ref. 452156533).</w:t>
      </w:r>
    </w:p>
    <w:p w14:paraId="7C498C01">
      <w:pPr>
        <w:pStyle w:val="16"/>
        <w:numPr>
          <w:ilvl w:val="0"/>
          <w:numId w:val="1"/>
        </w:numPr>
        <w:spacing w:after="80" w:line="276" w:lineRule="auto"/>
        <w:jc w:val="both"/>
      </w:pPr>
      <w:r>
        <w:t>ANEXO 6 — Acórdão TRL P_3719.L1 de 16 de Abril de 2026 (refs. 24500137, 24552950).</w:t>
      </w:r>
    </w:p>
    <w:p w14:paraId="1A09334E">
      <w:pPr>
        <w:pStyle w:val="3"/>
        <w:spacing w:before="280" w:after="160"/>
      </w:pPr>
      <w:r>
        <w:rPr>
          <w:rFonts w:ascii="Arial" w:hAnsi="Arial" w:eastAsia="Arial" w:cs="Arial"/>
          <w:b/>
          <w:bCs/>
          <w:sz w:val="24"/>
          <w:szCs w:val="24"/>
        </w:rPr>
        <w:t>XII.2  Documentação processual interna</w:t>
      </w:r>
    </w:p>
    <w:p w14:paraId="030985B5">
      <w:pPr>
        <w:pStyle w:val="16"/>
        <w:numPr>
          <w:ilvl w:val="0"/>
          <w:numId w:val="1"/>
        </w:numPr>
        <w:spacing w:after="80" w:line="276" w:lineRule="auto"/>
        <w:jc w:val="both"/>
      </w:pPr>
      <w:r>
        <w:t>ANEXO 7 — Arguição de nulidade da citação P_23142 de 6 de Fevereiro de 2024 (ref. 38393638).</w:t>
      </w:r>
    </w:p>
    <w:p w14:paraId="65E139AE">
      <w:pPr>
        <w:pStyle w:val="16"/>
        <w:numPr>
          <w:ilvl w:val="0"/>
          <w:numId w:val="1"/>
        </w:numPr>
        <w:spacing w:after="80" w:line="276" w:lineRule="auto"/>
        <w:jc w:val="both"/>
      </w:pPr>
      <w:r>
        <w:t>ANEXO 8 — Contra-alegações P_23142.L1 de 19 de Março de 2026.</w:t>
      </w:r>
    </w:p>
    <w:p w14:paraId="303858D8">
      <w:pPr>
        <w:pStyle w:val="16"/>
        <w:numPr>
          <w:ilvl w:val="0"/>
          <w:numId w:val="1"/>
        </w:numPr>
        <w:spacing w:after="80" w:line="276" w:lineRule="auto"/>
        <w:jc w:val="both"/>
      </w:pPr>
      <w:r>
        <w:t>ANEXO 9 — Ofício da Senhora Agente de Execução de 20 de Setembro de 2024 (ref. 437217551) — reconhecimento documental de omissão na citação.</w:t>
      </w:r>
    </w:p>
    <w:p w14:paraId="27E823B7">
      <w:pPr>
        <w:pStyle w:val="16"/>
        <w:numPr>
          <w:ilvl w:val="0"/>
          <w:numId w:val="1"/>
        </w:numPr>
        <w:spacing w:after="80" w:line="276" w:lineRule="auto"/>
        <w:jc w:val="both"/>
      </w:pPr>
      <w:r>
        <w:t>ANEXO 10 — Ofícios do tribunal a quo de 26 e 30 de Junho de 2025 (refs. 446634021, 446725036) — reconhecimento de subida ao TRL com nulidade por decidir.</w:t>
      </w:r>
    </w:p>
    <w:p w14:paraId="1230E6FC">
      <w:pPr>
        <w:pStyle w:val="3"/>
        <w:spacing w:before="280" w:after="160"/>
      </w:pPr>
      <w:r>
        <w:rPr>
          <w:rFonts w:ascii="Arial" w:hAnsi="Arial" w:eastAsia="Arial" w:cs="Arial"/>
          <w:b/>
          <w:bCs/>
          <w:sz w:val="24"/>
          <w:szCs w:val="24"/>
        </w:rPr>
        <w:t>XII.3  Documentação contabilística e fiscal</w:t>
      </w:r>
    </w:p>
    <w:p w14:paraId="2F17A497">
      <w:pPr>
        <w:pStyle w:val="16"/>
        <w:numPr>
          <w:ilvl w:val="0"/>
          <w:numId w:val="1"/>
        </w:numPr>
        <w:spacing w:after="80" w:line="276" w:lineRule="auto"/>
        <w:jc w:val="both"/>
      </w:pPr>
      <w:r>
        <w:t>ANEXO 11 — Facturas LEA originais 2021.</w:t>
      </w:r>
    </w:p>
    <w:p w14:paraId="0C6B07BB">
      <w:pPr>
        <w:pStyle w:val="16"/>
        <w:numPr>
          <w:ilvl w:val="0"/>
          <w:numId w:val="1"/>
        </w:numPr>
        <w:spacing w:after="80" w:line="276" w:lineRule="auto"/>
        <w:jc w:val="both"/>
      </w:pPr>
      <w:r>
        <w:t>ANEXO 12 — Mapas contabilísticos da Senhora Maria Teresa Castro Bangueses Ribeiro 2022 com discrepâncias documentadas.</w:t>
      </w:r>
    </w:p>
    <w:p w14:paraId="12AE1120">
      <w:pPr>
        <w:pStyle w:val="16"/>
        <w:numPr>
          <w:ilvl w:val="0"/>
          <w:numId w:val="1"/>
        </w:numPr>
        <w:spacing w:after="80" w:line="276" w:lineRule="auto"/>
        <w:jc w:val="both"/>
      </w:pPr>
      <w:r>
        <w:t>ANEXO 13 — Recibos de renda em sentido invertido.</w:t>
      </w:r>
    </w:p>
    <w:p w14:paraId="23E8E36F">
      <w:pPr>
        <w:pStyle w:val="16"/>
        <w:numPr>
          <w:ilvl w:val="0"/>
          <w:numId w:val="1"/>
        </w:numPr>
        <w:spacing w:after="80" w:line="276" w:lineRule="auto"/>
        <w:jc w:val="both"/>
      </w:pPr>
      <w:r>
        <w:t>ANEXO 14 — Cadernetas prediais.</w:t>
      </w:r>
    </w:p>
    <w:p w14:paraId="68F8FA58">
      <w:pPr>
        <w:pStyle w:val="16"/>
        <w:numPr>
          <w:ilvl w:val="0"/>
          <w:numId w:val="1"/>
        </w:numPr>
        <w:spacing w:after="80" w:line="276" w:lineRule="auto"/>
        <w:jc w:val="both"/>
      </w:pPr>
      <w:r>
        <w:t>ANEXO 15 — Mapas tributários.</w:t>
      </w:r>
    </w:p>
    <w:p w14:paraId="6549CA88">
      <w:pPr>
        <w:pStyle w:val="16"/>
        <w:numPr>
          <w:ilvl w:val="0"/>
          <w:numId w:val="1"/>
        </w:numPr>
        <w:spacing w:after="80" w:line="276" w:lineRule="auto"/>
        <w:jc w:val="both"/>
      </w:pPr>
      <w:r>
        <w:t>ANEXO 16 — Extractos bancários relevantes.</w:t>
      </w:r>
    </w:p>
    <w:p w14:paraId="105C0EF9">
      <w:pPr>
        <w:pStyle w:val="3"/>
        <w:spacing w:before="280" w:after="160"/>
      </w:pPr>
      <w:r>
        <w:rPr>
          <w:rFonts w:ascii="Arial" w:hAnsi="Arial" w:eastAsia="Arial" w:cs="Arial"/>
          <w:b/>
          <w:bCs/>
          <w:sz w:val="24"/>
          <w:szCs w:val="24"/>
        </w:rPr>
        <w:t>XII.4  Documentação técnica</w:t>
      </w:r>
    </w:p>
    <w:p w14:paraId="6CBE2B50">
      <w:pPr>
        <w:pStyle w:val="16"/>
        <w:numPr>
          <w:ilvl w:val="0"/>
          <w:numId w:val="1"/>
        </w:numPr>
        <w:spacing w:after="80" w:line="276" w:lineRule="auto"/>
        <w:jc w:val="both"/>
      </w:pPr>
      <w:r>
        <w:t>ANEXO 17 — Certificação E-Redes da selagem da instalação eléctrica desde 2019.</w:t>
      </w:r>
    </w:p>
    <w:p w14:paraId="767420AA">
      <w:pPr>
        <w:pStyle w:val="16"/>
        <w:numPr>
          <w:ilvl w:val="0"/>
          <w:numId w:val="1"/>
        </w:numPr>
        <w:spacing w:after="80" w:line="276" w:lineRule="auto"/>
        <w:jc w:val="both"/>
      </w:pPr>
      <w:r>
        <w:t>ANEXO 18 — Documentação societária da LEA, incluindo dissolução em 2024 com capital próprio negativo de €344.000,00 e dívida ao Estado de €222.517,76.</w:t>
      </w:r>
    </w:p>
    <w:p w14:paraId="7BE8ADEF">
      <w:pPr>
        <w:pStyle w:val="3"/>
        <w:spacing w:before="280" w:after="160"/>
      </w:pPr>
      <w:r>
        <w:rPr>
          <w:rFonts w:ascii="Arial" w:hAnsi="Arial" w:eastAsia="Arial" w:cs="Arial"/>
          <w:b/>
          <w:bCs/>
          <w:sz w:val="24"/>
          <w:szCs w:val="24"/>
        </w:rPr>
        <w:t>XII.5  Vídeo, áudio e cronologia do dia 7 de Dezembro de 2025</w:t>
      </w:r>
    </w:p>
    <w:p w14:paraId="5F5F2702">
      <w:pPr>
        <w:pStyle w:val="16"/>
        <w:numPr>
          <w:ilvl w:val="0"/>
          <w:numId w:val="1"/>
        </w:numPr>
        <w:spacing w:after="80" w:line="276" w:lineRule="auto"/>
        <w:jc w:val="both"/>
      </w:pPr>
      <w:r>
        <w:t>ANEXO 19 — Gravações vídeo e áudio de momentos processuais relevantes, na posse do queixoso.</w:t>
      </w:r>
    </w:p>
    <w:p w14:paraId="0DEC44B4">
      <w:pPr>
        <w:pStyle w:val="16"/>
        <w:numPr>
          <w:ilvl w:val="0"/>
          <w:numId w:val="1"/>
        </w:numPr>
        <w:spacing w:after="80" w:line="276" w:lineRule="auto"/>
        <w:jc w:val="both"/>
      </w:pPr>
      <w:r>
        <w:t>ANEXO 20 — Conjunto integral da documentação levada à PJ no dia 7 de Dezembro de 2025, em segmentos com anexos, na posse do queixoso por não aceitação no acto.</w:t>
      </w:r>
    </w:p>
    <w:p w14:paraId="5D3EB13F">
      <w:pPr>
        <w:pStyle w:val="16"/>
        <w:numPr>
          <w:ilvl w:val="0"/>
          <w:numId w:val="1"/>
        </w:numPr>
        <w:spacing w:after="80" w:line="276" w:lineRule="auto"/>
        <w:jc w:val="both"/>
      </w:pPr>
      <w:r>
        <w:t>ANEXO 21 — Documento de duas páginas efectivamente registado pela PJ no dia 7 de Dezembro de 2025.</w:t>
      </w:r>
    </w:p>
    <w:p w14:paraId="0B457E68">
      <w:pPr>
        <w:pStyle w:val="16"/>
        <w:numPr>
          <w:ilvl w:val="0"/>
          <w:numId w:val="1"/>
        </w:numPr>
        <w:spacing w:after="80" w:line="276" w:lineRule="auto"/>
        <w:jc w:val="both"/>
      </w:pPr>
      <w:r>
        <w:t>ANEXO 22 — Memória factual escrita pelo queixoso com a cronologia hora-a-hora do dia 7 de Dezembro de 2025.</w:t>
      </w:r>
    </w:p>
    <w:p w14:paraId="7FC8097A">
      <w:pPr>
        <w:pStyle w:val="3"/>
        <w:spacing w:before="280" w:after="160"/>
      </w:pPr>
      <w:r>
        <w:rPr>
          <w:rFonts w:ascii="Arial" w:hAnsi="Arial" w:eastAsia="Arial" w:cs="Arial"/>
          <w:b/>
          <w:bCs/>
          <w:sz w:val="24"/>
          <w:szCs w:val="24"/>
        </w:rPr>
        <w:t>XII.6  Documentação de impossibilidade de patrocínio</w:t>
      </w:r>
    </w:p>
    <w:p w14:paraId="4C25C785">
      <w:pPr>
        <w:pStyle w:val="16"/>
        <w:numPr>
          <w:ilvl w:val="0"/>
          <w:numId w:val="1"/>
        </w:numPr>
        <w:spacing w:after="80" w:line="276" w:lineRule="auto"/>
        <w:jc w:val="both"/>
      </w:pPr>
      <w:r>
        <w:t>ANEXO 23 — Comunicação interna da sociedade FLRP de 15 de Fevereiro de 2024, reconhecendo irregularidade das penhoras.</w:t>
      </w:r>
    </w:p>
    <w:p w14:paraId="33D37ED5">
      <w:pPr>
        <w:pStyle w:val="16"/>
        <w:numPr>
          <w:ilvl w:val="0"/>
          <w:numId w:val="1"/>
        </w:numPr>
        <w:spacing w:after="80" w:line="276" w:lineRule="auto"/>
        <w:jc w:val="both"/>
      </w:pPr>
      <w:r>
        <w:t>ANEXO 24 — Lista cronológica das oito interpelações documentadas à FLRP entre Agosto de 2024 e Janeiro de 2025.</w:t>
      </w:r>
    </w:p>
    <w:p w14:paraId="5F28E048">
      <w:pPr>
        <w:pStyle w:val="16"/>
        <w:numPr>
          <w:ilvl w:val="0"/>
          <w:numId w:val="1"/>
        </w:numPr>
        <w:spacing w:after="80" w:line="276" w:lineRule="auto"/>
        <w:jc w:val="both"/>
      </w:pPr>
      <w:r>
        <w:t>ANEXO 25 — Lista das mais de vinte sociedades de advogados contactadas e respectivos resultados.</w:t>
      </w:r>
    </w:p>
    <w:p w14:paraId="30A22502">
      <w:pPr>
        <w:pageBreakBefore/>
      </w:pPr>
    </w:p>
    <w:p w14:paraId="297A5005">
      <w:pPr>
        <w:pStyle w:val="2"/>
        <w:spacing w:before="360" w:after="200"/>
      </w:pPr>
      <w:r>
        <w:rPr>
          <w:rFonts w:ascii="Arial" w:hAnsi="Arial" w:eastAsia="Arial" w:cs="Arial"/>
          <w:b/>
          <w:bCs/>
          <w:sz w:val="28"/>
          <w:szCs w:val="28"/>
        </w:rPr>
        <w:t>XIII.  Referências verificáveis</w:t>
      </w:r>
    </w:p>
    <w:p w14:paraId="534DE51F">
      <w:pPr>
        <w:pStyle w:val="3"/>
        <w:spacing w:before="280" w:after="160"/>
      </w:pPr>
      <w:r>
        <w:rPr>
          <w:rFonts w:ascii="Arial" w:hAnsi="Arial" w:eastAsia="Arial" w:cs="Arial"/>
          <w:b/>
          <w:bCs/>
          <w:sz w:val="24"/>
          <w:szCs w:val="24"/>
        </w:rPr>
        <w:t>XIII.1  Jurisprudência TEDH (verificável em HUDOC)</w:t>
      </w:r>
    </w:p>
    <w:p w14:paraId="7C5D5E66">
      <w:pPr>
        <w:spacing w:after="120" w:line="276" w:lineRule="auto"/>
        <w:jc w:val="both"/>
      </w:pPr>
      <w:r>
        <w:rPr>
          <w:b/>
          <w:bCs/>
        </w:rPr>
        <w:t>Hornsby c. Grécia</w:t>
      </w:r>
      <w:r>
        <w:t>, queixa n.º 18357/91, acórdão de 19 de Março de 1997.</w:t>
      </w:r>
    </w:p>
    <w:p w14:paraId="351E195F">
      <w:pPr>
        <w:spacing w:after="120" w:line="276" w:lineRule="auto"/>
        <w:jc w:val="both"/>
      </w:pPr>
      <w:r>
        <w:rPr>
          <w:b/>
          <w:bCs/>
        </w:rPr>
        <w:t>Airey c. Irlanda</w:t>
      </w:r>
      <w:r>
        <w:t>, queixa n.º 6289/73, acórdão de 9 de Outubro de 1979.</w:t>
      </w:r>
    </w:p>
    <w:p w14:paraId="344F45F9">
      <w:pPr>
        <w:spacing w:after="120" w:line="276" w:lineRule="auto"/>
        <w:jc w:val="both"/>
      </w:pPr>
      <w:r>
        <w:rPr>
          <w:b/>
          <w:bCs/>
        </w:rPr>
        <w:t>Golder c. Reino Unido</w:t>
      </w:r>
      <w:r>
        <w:t>, queixa n.º 4451/70, acórdão de 21 de Fevereiro de 1975.</w:t>
      </w:r>
    </w:p>
    <w:p w14:paraId="2D8B8210">
      <w:pPr>
        <w:spacing w:after="120" w:line="276" w:lineRule="auto"/>
        <w:jc w:val="both"/>
      </w:pPr>
      <w:r>
        <w:rPr>
          <w:b/>
          <w:bCs/>
        </w:rPr>
        <w:t>Hiro Balani c. Espanha</w:t>
      </w:r>
      <w:r>
        <w:t>, queixa n.º 18064/91, acórdão de 9 de Dezembro de 1994.</w:t>
      </w:r>
    </w:p>
    <w:p w14:paraId="423488AE">
      <w:pPr>
        <w:spacing w:after="120" w:line="276" w:lineRule="auto"/>
        <w:jc w:val="both"/>
      </w:pPr>
      <w:r>
        <w:rPr>
          <w:b/>
          <w:bCs/>
        </w:rPr>
        <w:t>Ruiz Torija c. Espanha</w:t>
      </w:r>
      <w:r>
        <w:t>, queixa n.º 18390/91, acórdão de 9 de Dezembro de 1994.</w:t>
      </w:r>
    </w:p>
    <w:p w14:paraId="14B1934C">
      <w:pPr>
        <w:spacing w:after="120" w:line="276" w:lineRule="auto"/>
        <w:jc w:val="both"/>
      </w:pPr>
      <w:r>
        <w:rPr>
          <w:b/>
          <w:bCs/>
        </w:rPr>
        <w:t>García Ruiz c. Espanha</w:t>
      </w:r>
      <w:r>
        <w:t xml:space="preserve"> [GC], queixa n.º 30544/96, acórdão de 21 de Janeiro de 1999.</w:t>
      </w:r>
    </w:p>
    <w:p w14:paraId="1A0C9399">
      <w:pPr>
        <w:spacing w:after="120" w:line="276" w:lineRule="auto"/>
        <w:jc w:val="both"/>
      </w:pPr>
      <w:r>
        <w:rPr>
          <w:b/>
          <w:bCs/>
        </w:rPr>
        <w:t>Mantovanelli c. França</w:t>
      </w:r>
      <w:r>
        <w:t>, queixa n.º 21497/93, acórdão de 18 de Março de 1997.</w:t>
      </w:r>
    </w:p>
    <w:p w14:paraId="10BF6284">
      <w:pPr>
        <w:spacing w:after="120" w:line="276" w:lineRule="auto"/>
        <w:jc w:val="both"/>
      </w:pPr>
      <w:r>
        <w:rPr>
          <w:b/>
          <w:bCs/>
        </w:rPr>
        <w:t>Krčmář e Outros c. República Checa</w:t>
      </w:r>
      <w:r>
        <w:t>, queixa n.º 35376/97, acórdão de 3 de Março de 2000.</w:t>
      </w:r>
    </w:p>
    <w:p w14:paraId="58E179D0">
      <w:pPr>
        <w:spacing w:after="120" w:line="276" w:lineRule="auto"/>
        <w:jc w:val="both"/>
      </w:pPr>
      <w:r>
        <w:rPr>
          <w:b/>
          <w:bCs/>
        </w:rPr>
        <w:t>Comingersoll S.A. c. Portugal</w:t>
      </w:r>
      <w:r>
        <w:t xml:space="preserve"> [GC], queixa n.º 35382/97, acórdão de 6 de Abril de 2000.</w:t>
      </w:r>
    </w:p>
    <w:p w14:paraId="68803DF6">
      <w:pPr>
        <w:spacing w:after="120" w:line="276" w:lineRule="auto"/>
        <w:jc w:val="both"/>
      </w:pPr>
      <w:r>
        <w:rPr>
          <w:b/>
          <w:bCs/>
        </w:rPr>
        <w:t>Frydlender c. França</w:t>
      </w:r>
      <w:r>
        <w:t xml:space="preserve"> [GC], queixa n.º 30979/96, acórdão de 27 de Junho de 2000.</w:t>
      </w:r>
    </w:p>
    <w:p w14:paraId="7F60D03B">
      <w:pPr>
        <w:spacing w:after="120" w:line="276" w:lineRule="auto"/>
        <w:jc w:val="both"/>
      </w:pPr>
      <w:r>
        <w:rPr>
          <w:b/>
          <w:bCs/>
        </w:rPr>
        <w:t>Burdov c. Rússia</w:t>
      </w:r>
      <w:r>
        <w:t>, queixa n.º 59498/00, acórdão de 7 de Maio de 2002.</w:t>
      </w:r>
    </w:p>
    <w:p w14:paraId="355FAF6E">
      <w:pPr>
        <w:spacing w:after="120" w:line="276" w:lineRule="auto"/>
        <w:jc w:val="both"/>
      </w:pPr>
      <w:r>
        <w:rPr>
          <w:b/>
          <w:bCs/>
        </w:rPr>
        <w:t>Bertuzzi c. França</w:t>
      </w:r>
      <w:r>
        <w:t>, queixa n.º 36378/97, acórdão de 13 de Fevereiro de 2003.</w:t>
      </w:r>
    </w:p>
    <w:p w14:paraId="2F549F7E">
      <w:pPr>
        <w:spacing w:after="120" w:line="276" w:lineRule="auto"/>
        <w:jc w:val="both"/>
      </w:pPr>
      <w:r>
        <w:rPr>
          <w:b/>
          <w:bCs/>
        </w:rPr>
        <w:t>Broniowski c. Polónia</w:t>
      </w:r>
      <w:r>
        <w:t xml:space="preserve"> [GC], queixa n.º 31443/96, acórdão de 22 de Junho de 2004.</w:t>
      </w:r>
    </w:p>
    <w:p w14:paraId="269BBE5F">
      <w:pPr>
        <w:spacing w:after="120" w:line="276" w:lineRule="auto"/>
        <w:jc w:val="both"/>
      </w:pPr>
      <w:r>
        <w:rPr>
          <w:b/>
          <w:bCs/>
        </w:rPr>
        <w:t>Steel e Morris c. Reino Unido</w:t>
      </w:r>
      <w:r>
        <w:t>, queixa n.º 68416/01, acórdão de 15 de Fevereiro de 2005.</w:t>
      </w:r>
    </w:p>
    <w:p w14:paraId="5C950C5D">
      <w:pPr>
        <w:spacing w:after="120" w:line="276" w:lineRule="auto"/>
        <w:jc w:val="both"/>
      </w:pPr>
      <w:r>
        <w:rPr>
          <w:b/>
          <w:bCs/>
        </w:rPr>
        <w:t>Khamidov c. Rússia</w:t>
      </w:r>
      <w:r>
        <w:t>, queixa n.º 72118/01, acórdão de 15 de Novembro de 2007.</w:t>
      </w:r>
    </w:p>
    <w:p w14:paraId="0455BB76">
      <w:pPr>
        <w:spacing w:after="120" w:line="276" w:lineRule="auto"/>
        <w:jc w:val="both"/>
      </w:pPr>
      <w:r>
        <w:rPr>
          <w:b/>
          <w:bCs/>
        </w:rPr>
        <w:t>Martins Castro e Alves Correia de Castro c. Portugal</w:t>
      </w:r>
      <w:r>
        <w:t>, queixa n.º 33729/06, acórdão de 10 de Junho de 2008.</w:t>
      </w:r>
    </w:p>
    <w:p w14:paraId="28B41C28">
      <w:pPr>
        <w:spacing w:after="120" w:line="276" w:lineRule="auto"/>
        <w:jc w:val="both"/>
      </w:pPr>
      <w:r>
        <w:rPr>
          <w:b/>
          <w:bCs/>
        </w:rPr>
        <w:t>Burdov c. Rússia (n.º 2)</w:t>
      </w:r>
      <w:r>
        <w:t>, queixa n.º 33509/04, acórdão de 15 de Janeiro de 2009.</w:t>
      </w:r>
    </w:p>
    <w:p w14:paraId="2F593554">
      <w:pPr>
        <w:spacing w:after="120" w:line="276" w:lineRule="auto"/>
        <w:jc w:val="both"/>
      </w:pPr>
      <w:r>
        <w:rPr>
          <w:b/>
          <w:bCs/>
        </w:rPr>
        <w:t>Sociedade de Construções Martins &amp; Vieira, Lda. e Outros c. Portugal</w:t>
      </w:r>
      <w:r>
        <w:t>, queixa n.º 56637/10 e outras, acórdão de 30 de Outubro de 2014.</w:t>
      </w:r>
    </w:p>
    <w:p w14:paraId="7C8B93C3">
      <w:pPr>
        <w:spacing w:after="120" w:line="276" w:lineRule="auto"/>
        <w:jc w:val="both"/>
      </w:pPr>
      <w:r>
        <w:rPr>
          <w:b/>
          <w:bCs/>
        </w:rPr>
        <w:t>Terebus c. Portugal</w:t>
      </w:r>
      <w:r>
        <w:t>, queixa n.º 5238/10, acórdão de 10 de Abril de 2014.</w:t>
      </w:r>
    </w:p>
    <w:p w14:paraId="1F9734BF">
      <w:pPr>
        <w:spacing w:after="120" w:line="276" w:lineRule="auto"/>
        <w:jc w:val="both"/>
      </w:pPr>
      <w:r>
        <w:rPr>
          <w:b/>
          <w:bCs/>
        </w:rPr>
        <w:t>Pinto Pinheiro Marques c. Portugal</w:t>
      </w:r>
      <w:r>
        <w:t>, queixa n.º 26671/09, acórdão de 22 de Janeiro de 2015.</w:t>
      </w:r>
    </w:p>
    <w:p w14:paraId="0C743CAB">
      <w:pPr>
        <w:spacing w:after="120" w:line="276" w:lineRule="auto"/>
        <w:jc w:val="both"/>
      </w:pPr>
      <w:r>
        <w:rPr>
          <w:b/>
          <w:bCs/>
        </w:rPr>
        <w:t>Rutkowski e Outros c. Polónia</w:t>
      </w:r>
      <w:r>
        <w:t>, queixas n.os 72287/10, 13927/11, 46187/11, acórdão-piloto de 7 de Julho de 2015.</w:t>
      </w:r>
    </w:p>
    <w:p w14:paraId="38AD6349">
      <w:pPr>
        <w:spacing w:after="120" w:line="276" w:lineRule="auto"/>
        <w:jc w:val="both"/>
      </w:pPr>
      <w:r>
        <w:rPr>
          <w:b/>
          <w:bCs/>
        </w:rPr>
        <w:t>Companhia Agrícola da Apariça SA c. Portugal</w:t>
      </w:r>
      <w:r>
        <w:t>, queixa n.º 12474/12, acórdão de 29 de Outubro de 2015.</w:t>
      </w:r>
    </w:p>
    <w:p w14:paraId="27A356FE">
      <w:pPr>
        <w:spacing w:after="120" w:line="276" w:lineRule="auto"/>
        <w:jc w:val="both"/>
      </w:pPr>
      <w:r>
        <w:rPr>
          <w:b/>
          <w:bCs/>
        </w:rPr>
        <w:t>Valada Matos das Neves c. Portugal</w:t>
      </w:r>
      <w:r>
        <w:t>, queixa n.º 73798/13, acórdão de 29 de Outubro de 2015.</w:t>
      </w:r>
    </w:p>
    <w:p w14:paraId="285F5392">
      <w:pPr>
        <w:spacing w:after="120" w:line="276" w:lineRule="auto"/>
        <w:jc w:val="both"/>
      </w:pPr>
      <w:r>
        <w:rPr>
          <w:b/>
          <w:bCs/>
        </w:rPr>
        <w:t>Meggi Cala c. Portugal</w:t>
      </w:r>
      <w:r>
        <w:t>, queixa n.º 24086/11, acórdão de 2 de Fevereiro de 2016.</w:t>
      </w:r>
    </w:p>
    <w:p w14:paraId="280079B2">
      <w:pPr>
        <w:spacing w:after="120" w:line="276" w:lineRule="auto"/>
        <w:jc w:val="both"/>
      </w:pPr>
      <w:r>
        <w:rPr>
          <w:b/>
          <w:bCs/>
        </w:rPr>
        <w:t>Burmych e Outros c. Ucrânia</w:t>
      </w:r>
      <w:r>
        <w:t xml:space="preserve"> [GC], queixa n.º 46852/13 e outras, acórdão de 12 de Outubro de 2017.</w:t>
      </w:r>
    </w:p>
    <w:p w14:paraId="337C97A4">
      <w:pPr>
        <w:spacing w:after="120" w:line="276" w:lineRule="auto"/>
        <w:jc w:val="both"/>
      </w:pPr>
      <w:r>
        <w:rPr>
          <w:b/>
          <w:bCs/>
        </w:rPr>
        <w:t>Oliveira Modesto e Outros c. Portugal</w:t>
      </w:r>
      <w:r>
        <w:t>, queixa n.º 68445/10, acórdão de 29 de Janeiro de 2019.</w:t>
      </w:r>
    </w:p>
    <w:p w14:paraId="7D41A719">
      <w:pPr>
        <w:spacing w:after="120" w:line="276" w:lineRule="auto"/>
        <w:jc w:val="both"/>
      </w:pPr>
      <w:r>
        <w:rPr>
          <w:b/>
          <w:bCs/>
        </w:rPr>
        <w:t>Carreto Ribeiro c. Portugal</w:t>
      </w:r>
      <w:r>
        <w:t>, queixa n.º 20075/21, acórdão de 25 de Abril de 2024.</w:t>
      </w:r>
    </w:p>
    <w:p w14:paraId="3D3E9F37">
      <w:pPr>
        <w:pStyle w:val="3"/>
        <w:spacing w:before="280" w:after="160"/>
      </w:pPr>
      <w:r>
        <w:rPr>
          <w:rFonts w:ascii="Arial" w:hAnsi="Arial" w:eastAsia="Arial" w:cs="Arial"/>
          <w:b/>
          <w:bCs/>
          <w:sz w:val="24"/>
          <w:szCs w:val="24"/>
        </w:rPr>
        <w:t>XIII.2  Jurisprudência constitucional portuguesa (verificável em tribunalconstitucional.pt)</w:t>
      </w:r>
    </w:p>
    <w:p w14:paraId="39302339">
      <w:pPr>
        <w:spacing w:after="120" w:line="276" w:lineRule="auto"/>
        <w:jc w:val="both"/>
      </w:pPr>
      <w:r>
        <w:rPr>
          <w:b/>
          <w:bCs/>
        </w:rPr>
        <w:t>Acórdão TC n.º 86/88</w:t>
      </w:r>
      <w:r>
        <w:t xml:space="preserve"> — doutrina-pivô sobre o direito de acesso aos tribunais.</w:t>
      </w:r>
    </w:p>
    <w:p w14:paraId="6B831E41">
      <w:pPr>
        <w:spacing w:after="120" w:line="276" w:lineRule="auto"/>
        <w:jc w:val="both"/>
      </w:pPr>
      <w:r>
        <w:rPr>
          <w:b/>
          <w:bCs/>
        </w:rPr>
        <w:t>Acórdão TC n.º 353/2017</w:t>
      </w:r>
      <w:r>
        <w:t xml:space="preserve"> — declaração de inconstitucionalidade com força obrigatória geral em matéria de apoio judiciário.</w:t>
      </w:r>
    </w:p>
    <w:p w14:paraId="78BC5CCF">
      <w:pPr>
        <w:spacing w:after="120" w:line="276" w:lineRule="auto"/>
        <w:jc w:val="both"/>
      </w:pPr>
      <w:r>
        <w:rPr>
          <w:b/>
          <w:bCs/>
        </w:rPr>
        <w:t>Acórdão TC n.º 242/2018</w:t>
      </w:r>
      <w:r>
        <w:t xml:space="preserve"> — declaração de inconstitucionalidade quanto a pessoas colectivas com fins lucrativos.</w:t>
      </w:r>
    </w:p>
    <w:p w14:paraId="4E8ABB3E">
      <w:pPr>
        <w:spacing w:after="120" w:line="276" w:lineRule="auto"/>
        <w:jc w:val="both"/>
      </w:pPr>
      <w:r>
        <w:rPr>
          <w:b/>
          <w:bCs/>
        </w:rPr>
        <w:t>Acórdão TC n.º 676/2022</w:t>
      </w:r>
      <w:r>
        <w:t xml:space="preserve"> — pagamento faseado de taxa de justiça.</w:t>
      </w:r>
    </w:p>
    <w:p w14:paraId="44ECE635">
      <w:pPr>
        <w:pStyle w:val="3"/>
        <w:spacing w:before="280" w:after="160"/>
      </w:pPr>
      <w:r>
        <w:rPr>
          <w:rFonts w:ascii="Arial" w:hAnsi="Arial" w:eastAsia="Arial" w:cs="Arial"/>
          <w:b/>
          <w:bCs/>
          <w:sz w:val="24"/>
          <w:szCs w:val="24"/>
        </w:rPr>
        <w:t>XIII.3  Indicadores institucionais</w:t>
      </w:r>
    </w:p>
    <w:p w14:paraId="0B358E84">
      <w:pPr>
        <w:spacing w:after="120" w:line="276" w:lineRule="auto"/>
        <w:jc w:val="both"/>
      </w:pPr>
      <w:r>
        <w:rPr>
          <w:b/>
          <w:bCs/>
        </w:rPr>
        <w:t>CEPEJ Evaluation Report 2024 (10.º ciclo)</w:t>
      </w:r>
      <w:r>
        <w:t xml:space="preserve"> — Country Profile Portugal, em rm.coe.int/portugal/1680b1df7c.</w:t>
      </w:r>
    </w:p>
    <w:p w14:paraId="51F46773">
      <w:pPr>
        <w:spacing w:after="120" w:line="276" w:lineRule="auto"/>
        <w:jc w:val="both"/>
      </w:pPr>
      <w:r>
        <w:rPr>
          <w:b/>
          <w:bCs/>
        </w:rPr>
        <w:t>EU Justice Scoreboard 2025</w:t>
      </w:r>
      <w:r>
        <w:t xml:space="preserve"> — COM(2025) 375.</w:t>
      </w:r>
    </w:p>
    <w:p w14:paraId="4BA6EFE7">
      <w:pPr>
        <w:spacing w:after="120" w:line="276" w:lineRule="auto"/>
        <w:jc w:val="both"/>
      </w:pPr>
      <w:r>
        <w:rPr>
          <w:b/>
          <w:bCs/>
        </w:rPr>
        <w:t>2025 Rule of Law Report — Country Chapter Portugal</w:t>
      </w:r>
      <w:r>
        <w:t xml:space="preserve"> — SWD(2025) 922 final, de 8 de Julho de 2025.</w:t>
      </w:r>
    </w:p>
    <w:p w14:paraId="2E5B27BE">
      <w:pPr>
        <w:spacing w:after="120" w:line="276" w:lineRule="auto"/>
        <w:jc w:val="both"/>
      </w:pPr>
      <w:r>
        <w:rPr>
          <w:b/>
          <w:bCs/>
        </w:rPr>
        <w:t>Recomendação CM/Rec(2010)3</w:t>
      </w:r>
      <w:r>
        <w:t xml:space="preserve"> do Comité de Ministros sobre recursos efectivos para duração excessiva de processos.</w:t>
      </w:r>
    </w:p>
    <w:p w14:paraId="75AEF539">
      <w:pPr>
        <w:pStyle w:val="3"/>
        <w:spacing w:before="280" w:after="160"/>
      </w:pPr>
      <w:r>
        <w:rPr>
          <w:rFonts w:ascii="Arial" w:hAnsi="Arial" w:eastAsia="Arial" w:cs="Arial"/>
          <w:b/>
          <w:bCs/>
          <w:sz w:val="24"/>
          <w:szCs w:val="24"/>
        </w:rPr>
        <w:t>XIII.4  Legislação nacional (verificável em dre.pt)</w:t>
      </w:r>
    </w:p>
    <w:p w14:paraId="4B238102">
      <w:pPr>
        <w:spacing w:after="120" w:line="276" w:lineRule="auto"/>
        <w:jc w:val="both"/>
      </w:pPr>
      <w:r>
        <w:rPr>
          <w:b/>
          <w:bCs/>
        </w:rPr>
        <w:t>Constituição da República Portuguesa</w:t>
      </w:r>
      <w:r>
        <w:t xml:space="preserve"> — arts. 20.º, 32.º, 205.º.</w:t>
      </w:r>
    </w:p>
    <w:p w14:paraId="761D48AA">
      <w:pPr>
        <w:spacing w:after="120" w:line="276" w:lineRule="auto"/>
        <w:jc w:val="both"/>
      </w:pPr>
      <w:r>
        <w:rPr>
          <w:b/>
          <w:bCs/>
        </w:rPr>
        <w:t>Código de Processo Civil</w:t>
      </w:r>
      <w:r>
        <w:t xml:space="preserve"> — arts. 188.º, 195.º, 228.º, 232.º, 608.º, 703.º, 720.º, 723.º, 726.º, 734.º, 751.º, 752.º.</w:t>
      </w:r>
    </w:p>
    <w:p w14:paraId="29CA037F">
      <w:pPr>
        <w:spacing w:after="120" w:line="276" w:lineRule="auto"/>
        <w:jc w:val="both"/>
      </w:pPr>
      <w:r>
        <w:rPr>
          <w:b/>
          <w:bCs/>
        </w:rPr>
        <w:t>Código de Processo Penal</w:t>
      </w:r>
      <w:r>
        <w:t xml:space="preserve"> — arts. 241.º, 246.º, 248.º, 262.º.</w:t>
      </w:r>
    </w:p>
    <w:p w14:paraId="46109918">
      <w:pPr>
        <w:spacing w:after="120" w:line="276" w:lineRule="auto"/>
        <w:jc w:val="both"/>
      </w:pPr>
      <w:r>
        <w:rPr>
          <w:b/>
          <w:bCs/>
        </w:rPr>
        <w:t>Decreto-Lei n.º 226/2008</w:t>
      </w:r>
      <w:r>
        <w:t xml:space="preserve"> — Estatuto dos Agentes de Execução.</w:t>
      </w:r>
    </w:p>
    <w:p w14:paraId="0EF3A915">
      <w:pPr>
        <w:spacing w:after="120" w:line="276" w:lineRule="auto"/>
        <w:jc w:val="both"/>
      </w:pPr>
      <w:r>
        <w:rPr>
          <w:b/>
          <w:bCs/>
        </w:rPr>
        <w:t>Lei n.º 34/2004</w:t>
      </w:r>
      <w:r>
        <w:t xml:space="preserve"> — regime de acesso ao direito e aos tribunais (apoio judiciário).</w:t>
      </w:r>
    </w:p>
    <w:p w14:paraId="452A4327">
      <w:pPr>
        <w:spacing w:after="120" w:line="276" w:lineRule="auto"/>
        <w:jc w:val="both"/>
      </w:pPr>
      <w:r>
        <w:rPr>
          <w:b/>
          <w:bCs/>
        </w:rPr>
        <w:t>Decreto-Lei n.º 276/2007</w:t>
      </w:r>
      <w:r>
        <w:t xml:space="preserve"> — competências da IGAI.</w:t>
      </w:r>
    </w:p>
    <w:p w14:paraId="62788438">
      <w:pPr>
        <w:spacing w:after="120" w:line="276" w:lineRule="auto"/>
        <w:jc w:val="both"/>
      </w:pPr>
      <w:r>
        <w:rPr>
          <w:b/>
          <w:bCs/>
        </w:rPr>
        <w:t>Decreto-Lei n.º 121/2018</w:t>
      </w:r>
      <w:r>
        <w:t xml:space="preserve"> — competências da IGSJ.</w:t>
      </w:r>
    </w:p>
    <w:p w14:paraId="1D22EF5C">
      <w:pPr>
        <w:pageBreakBefore/>
      </w:pPr>
    </w:p>
    <w:p w14:paraId="47CE3E9F">
      <w:pPr>
        <w:pStyle w:val="2"/>
        <w:spacing w:before="360" w:after="200"/>
      </w:pPr>
      <w:r>
        <w:rPr>
          <w:rFonts w:ascii="Arial" w:hAnsi="Arial" w:eastAsia="Arial" w:cs="Arial"/>
          <w:b/>
          <w:bCs/>
          <w:sz w:val="28"/>
          <w:szCs w:val="28"/>
        </w:rPr>
        <w:t>Conclusão final</w:t>
      </w:r>
    </w:p>
    <w:p w14:paraId="563326B7">
      <w:pPr>
        <w:spacing w:after="140" w:line="276" w:lineRule="auto"/>
        <w:jc w:val="both"/>
      </w:pPr>
      <w:r>
        <w:rPr>
          <w:b/>
          <w:bCs/>
        </w:rPr>
        <w:t xml:space="preserve">§57.  </w:t>
      </w:r>
      <w:r>
        <w:t>O presente dossier sistematiza, em formato operacional, os oito eixos de intervenção destinados a remediar o padrão sistémico documentado nos sete processos judiciais em que figura, como parte, Nuno Miguel Silva Duarte. Cada eixo tem fundamentação convencional vinculativa em jurisprudência verificada do TEDH, fundamentação constitucional em doutrina consolidada do Tribunal Constitucional, e proposta operacional concreta com horizonte temporal definido.</w:t>
      </w:r>
    </w:p>
    <w:p w14:paraId="2BA6792D">
      <w:pPr>
        <w:spacing w:after="140" w:line="276" w:lineRule="auto"/>
        <w:jc w:val="both"/>
      </w:pPr>
      <w:r>
        <w:rPr>
          <w:b/>
          <w:bCs/>
        </w:rPr>
        <w:t xml:space="preserve">§58.  </w:t>
      </w:r>
      <w:r>
        <w:t>A força do dossier reside na convergência factual: a repetição do padrão de violação em sete processos paralelos, ao longo de mais de quatro anos, com convergência temporal e funcional, é incompatível com a hipótese de mero acaso processual. Os critérios cumulativos da doutrina Broniowski/Rutkowski para identificação de problema sistémico encontram-se preenchidos, e a actualidade das condenações de Portugal — Carreto Ribeiro c. Portugal de 25 de Abril de 2024 — demonstra a manutenção do problema.</w:t>
      </w:r>
    </w:p>
    <w:p w14:paraId="7C986BF0">
      <w:pPr>
        <w:spacing w:after="140" w:line="276" w:lineRule="auto"/>
        <w:jc w:val="both"/>
      </w:pPr>
      <w:r>
        <w:rPr>
          <w:b/>
          <w:bCs/>
        </w:rPr>
        <w:t xml:space="preserve">§59.  </w:t>
      </w:r>
      <w:r>
        <w:t>As acções imediatas (Janela 1) devem ser executadas dentro do prazo de duas semanas. As acções de médio prazo (Janela 2) consolidam o dossier para a queixa TEDH. As acções de longo prazo (Janela 3) destinam-se a obter, junto do Venerando Tribunal Europeu dos Direitos Humanos e do Comité de Ministros do Conselho da Europa, não apenas a reparação individual mas a transformação institucional do sistema judicial português nos eixos identificados.</w:t>
      </w:r>
    </w:p>
    <w:p w14:paraId="0AAC99CB">
      <w:pPr>
        <w:spacing w:after="140" w:line="276" w:lineRule="auto"/>
        <w:jc w:val="both"/>
      </w:pPr>
      <w:r>
        <w:rPr>
          <w:b/>
          <w:bCs/>
        </w:rPr>
        <w:t xml:space="preserve">§60.  </w:t>
      </w:r>
      <w:r>
        <w:t>A eficiência processual, em última instância, não é uma questão de velocidade administrativa. É uma questão de justiça previsível, segura e acessível. É o direito consagrado no art. 20.º da Constituição da República Portuguesa e no art. 6.º da Convenção Europeia dos Direitos do Homem. É, neste caso, o direito que o queixoso busca.</w:t>
      </w:r>
    </w:p>
    <w:p w14:paraId="63CEE601">
      <w:pPr>
        <w:spacing w:before="240" w:after="240"/>
        <w:jc w:val="center"/>
      </w:pPr>
      <w:r>
        <w:rPr>
          <w:sz w:val="22"/>
          <w:szCs w:val="22"/>
        </w:rPr>
        <w:t>* * *</w:t>
      </w:r>
    </w:p>
    <w:p w14:paraId="31C066FB">
      <w:pPr>
        <w:spacing w:after="120" w:line="276" w:lineRule="auto"/>
        <w:jc w:val="both"/>
      </w:pPr>
      <w:r>
        <w:t>Lisboa, 5 de Maio de 2026</w:t>
      </w:r>
    </w:p>
    <w:p w14:paraId="2193603C">
      <w:pPr>
        <w:spacing w:after="120" w:line="276" w:lineRule="auto"/>
        <w:jc w:val="both"/>
      </w:pPr>
      <w:r>
        <w:t>O queixoso,</w:t>
      </w:r>
    </w:p>
    <w:p w14:paraId="2C8D8BEF">
      <w:pPr>
        <w:spacing w:before="480" w:after="60"/>
      </w:pPr>
      <w:r>
        <w:rPr>
          <w:rFonts w:ascii="Arial" w:hAnsi="Arial" w:eastAsia="Arial" w:cs="Arial"/>
          <w:sz w:val="24"/>
          <w:szCs w:val="24"/>
        </w:rPr>
        <w:t>____________________________________________</w:t>
      </w:r>
    </w:p>
    <w:p w14:paraId="1EDC814D">
      <w:pPr>
        <w:spacing w:after="120" w:line="276" w:lineRule="auto"/>
        <w:jc w:val="both"/>
      </w:pPr>
      <w:r>
        <w:rPr>
          <w:b/>
          <w:bCs/>
        </w:rPr>
        <w:t>Nuno Miguel Silva Duarte</w:t>
      </w:r>
    </w:p>
    <w:p w14:paraId="10B4AB0C">
      <w:pPr>
        <w:spacing w:after="120" w:line="276" w:lineRule="auto"/>
        <w:jc w:val="both"/>
      </w:pPr>
      <w:r>
        <w:t>CC 13731091  ·  NIF 254048382</w:t>
      </w:r>
    </w:p>
    <w:p w14:paraId="55B04662">
      <w:pPr>
        <w:spacing w:after="120" w:line="276" w:lineRule="auto"/>
        <w:jc w:val="both"/>
      </w:pPr>
      <w:r>
        <w:t>Rua da Palmeira, n.º 31, 4.º andar, 1200-321 Lisboa</w:t>
      </w:r>
    </w:p>
    <w:p w14:paraId="2102439E">
      <w:pPr>
        <w:spacing w:after="120" w:line="276" w:lineRule="auto"/>
        <w:jc w:val="both"/>
      </w:pPr>
      <w:r>
        <w:t>nunomiguelsilvaduarte@gmail.com</w:t>
      </w:r>
    </w:p>
    <w:sectPr>
      <w:headerReference r:id="rId3" w:type="default"/>
      <w:footerReference r:id="rId4" w:type="default"/>
      <w:pgSz w:w="11906" w:h="16838"/>
      <w:pgMar w:top="1417" w:right="1417" w:bottom="1417" w:left="1417"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FCD5D1">
    <w:pPr>
      <w:jc w:val="center"/>
    </w:pPr>
    <w:r>
      <w:rPr>
        <w:rFonts w:ascii="Arial" w:hAnsi="Arial" w:eastAsia="Arial" w:cs="Arial"/>
        <w:sz w:val="18"/>
        <w:szCs w:val="18"/>
      </w:rPr>
      <w:t xml:space="preserve">Pág. </w:t>
    </w:r>
    <w:r>
      <w:rPr>
        <w:rFonts w:ascii="Arial" w:hAnsi="Arial" w:eastAsia="Arial" w:cs="Arial"/>
        <w:sz w:val="18"/>
        <w:szCs w:val="18"/>
      </w:rPr>
      <w:fldChar w:fldCharType="begin"/>
    </w:r>
    <w:r>
      <w:rPr>
        <w:rFonts w:ascii="Arial" w:hAnsi="Arial" w:eastAsia="Arial" w:cs="Arial"/>
        <w:sz w:val="18"/>
        <w:szCs w:val="18"/>
      </w:rPr>
      <w:instrText xml:space="preserve">PAGE</w:instrText>
    </w:r>
    <w:r>
      <w:rPr>
        <w:rFonts w:ascii="Arial" w:hAnsi="Arial" w:eastAsia="Arial" w:cs="Arial"/>
        <w:sz w:val="18"/>
        <w:szCs w:val="18"/>
      </w:rPr>
      <w:fldChar w:fldCharType="separate"/>
    </w:r>
    <w:r>
      <w:rPr>
        <w:rFonts w:ascii="Arial" w:hAnsi="Arial" w:eastAsia="Arial" w:cs="Arial"/>
        <w:sz w:val="18"/>
        <w:szCs w:val="18"/>
      </w:rPr>
      <w:fldChar w:fldCharType="end"/>
    </w:r>
    <w:r>
      <w:rPr>
        <w:rFonts w:ascii="Arial" w:hAnsi="Arial" w:eastAsia="Arial" w:cs="Arial"/>
        <w:sz w:val="18"/>
        <w:szCs w:val="18"/>
      </w:rPr>
      <w:t xml:space="preserve"> de </w:t>
    </w:r>
    <w:r>
      <w:rPr>
        <w:rFonts w:ascii="Arial" w:hAnsi="Arial" w:eastAsia="Arial" w:cs="Arial"/>
        <w:sz w:val="18"/>
        <w:szCs w:val="18"/>
      </w:rPr>
      <w:fldChar w:fldCharType="begin"/>
    </w:r>
    <w:r>
      <w:rPr>
        <w:rFonts w:ascii="Arial" w:hAnsi="Arial" w:eastAsia="Arial" w:cs="Arial"/>
        <w:sz w:val="18"/>
        <w:szCs w:val="18"/>
      </w:rPr>
      <w:instrText xml:space="preserve">NUMPAGES</w:instrText>
    </w:r>
    <w:r>
      <w:rPr>
        <w:rFonts w:ascii="Arial" w:hAnsi="Arial" w:eastAsia="Arial" w:cs="Arial"/>
        <w:sz w:val="18"/>
        <w:szCs w:val="18"/>
      </w:rPr>
      <w:fldChar w:fldCharType="separate"/>
    </w:r>
    <w:r>
      <w:rPr>
        <w:rFonts w:ascii="Arial" w:hAnsi="Arial" w:eastAsia="Arial" w:cs="Arial"/>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EE897">
    <w:pPr>
      <w:jc w:val="right"/>
    </w:pPr>
    <w:r>
      <w:rPr>
        <w:rFonts w:ascii="Arial" w:hAnsi="Arial" w:eastAsia="Arial" w:cs="Arial"/>
        <w:i/>
        <w:iCs/>
        <w:sz w:val="18"/>
        <w:szCs w:val="18"/>
      </w:rPr>
      <w:t>Dossier Técnico-Jurídico · Plano 8 Melhorias · NMSD · DOSSIER-NMSD-EP-2026-001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6468386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before="360" w:after="200"/>
      <w:outlineLvl w:val="0"/>
    </w:pPr>
    <w:rPr>
      <w:rFonts w:ascii="Arial" w:hAnsi="Arial" w:eastAsia="Arial" w:cs="Arial"/>
      <w:b/>
      <w:bCs/>
      <w:sz w:val="28"/>
      <w:szCs w:val="28"/>
    </w:rPr>
  </w:style>
  <w:style w:type="paragraph" w:styleId="3">
    <w:name w:val="heading 2"/>
    <w:next w:val="1"/>
    <w:qFormat/>
    <w:uiPriority w:val="0"/>
    <w:pPr>
      <w:spacing w:before="280" w:after="160"/>
      <w:outlineLvl w:val="1"/>
    </w:pPr>
    <w:rPr>
      <w:rFonts w:ascii="Arial" w:hAnsi="Arial" w:eastAsia="Arial" w:cs="Arial"/>
      <w:b/>
      <w:bCs/>
      <w:sz w:val="24"/>
      <w:szCs w:val="24"/>
    </w:rPr>
  </w:style>
  <w:style w:type="paragraph" w:styleId="4">
    <w:name w:val="heading 3"/>
    <w:next w:val="1"/>
    <w:qFormat/>
    <w:uiPriority w:val="0"/>
    <w:pPr>
      <w:spacing w:before="200" w:after="120"/>
      <w:outlineLvl w:val="2"/>
    </w:pPr>
    <w:rPr>
      <w:rFonts w:ascii="Arial" w:hAnsi="Arial" w:eastAsia="Arial" w:cs="Arial"/>
      <w:b/>
      <w:bCs/>
      <w:i/>
      <w:iCs/>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28</Pages>
  <Words>7874</Words>
  <Characters>43823</Characters>
  <TotalTime>0</TotalTime>
  <ScaleCrop>false</ScaleCrop>
  <LinksUpToDate>false</LinksUpToDate>
  <CharactersWithSpaces>51528</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2026-05-05T10:57:00Z</dcterms:created>
  <dc:creator>Nuno Miguel Silva Duarte</dc:creator>
  <dc:description>Reforço da Eficiência Processual</dc:description>
  <cp:lastModifiedBy>Nuno Miguel Silva Duarte</cp:lastModifiedBy>
  <dcterms:modified xsi:type="dcterms:W3CDTF">2026-05-06T09:35:47Z</dcterms:modified>
  <dc:title>Dossier Técnico-Jurídico — Plano para 8 Melhorias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eyJoZGlkIjoiMjlkNjdmNWNiMThhZWEwY2ZiYjVhMzBjNjhkNWY0NjciLCJ1c2VySWQiOiI2NzUyMjk0ODQyMDU4In0=</vt:lpwstr>
  </property>
  <property fmtid="{D5CDD505-2E9C-101B-9397-08002B2CF9AE}" pid="3" name="KSOProductBuildVer">
    <vt:lpwstr>1033-12.1.0.25242</vt:lpwstr>
  </property>
  <property fmtid="{D5CDD505-2E9C-101B-9397-08002B2CF9AE}" pid="4" name="ICV">
    <vt:lpwstr>17E67E699EEE4654A7F43C59EFA0DD1A_12</vt:lpwstr>
  </property>
</Properties>
</file>