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117A1D">
      <w:pPr>
        <w:spacing w:after="0"/>
      </w:pPr>
      <w:r>
        <w:rPr>
          <w:sz w:val="24"/>
          <w:szCs w:val="24"/>
        </w:rPr>
        <w:t>Proc. n.º 3719/25.0T8LSB</w:t>
      </w:r>
    </w:p>
    <w:p w14:paraId="3B2309CD">
      <w:pPr>
        <w:spacing w:after="400"/>
      </w:pPr>
      <w:r>
        <w:rPr>
          <w:sz w:val="24"/>
          <w:szCs w:val="24"/>
        </w:rPr>
        <w:t>Juízo Local Cível de Lisboa — Juiz 4</w:t>
      </w:r>
    </w:p>
    <w:p w14:paraId="7CD7CEF3">
      <w:pPr>
        <w:spacing w:after="300"/>
      </w:pPr>
    </w:p>
    <w:p w14:paraId="67131F8B">
      <w:pPr>
        <w:spacing w:after="0"/>
      </w:pPr>
      <w:r>
        <w:rPr>
          <w:sz w:val="24"/>
          <w:szCs w:val="24"/>
        </w:rPr>
        <w:t>Exm.º Senhor Dr. Juiz de Direito do Tribunal</w:t>
      </w:r>
    </w:p>
    <w:p w14:paraId="418EE0DF">
      <w:pPr>
        <w:spacing w:after="400"/>
      </w:pPr>
      <w:r>
        <w:rPr>
          <w:sz w:val="24"/>
          <w:szCs w:val="24"/>
        </w:rPr>
        <w:t>Judicial da Comarca de Lisboa</w:t>
      </w:r>
    </w:p>
    <w:p w14:paraId="774FDBE6">
      <w:pPr>
        <w:spacing w:after="300"/>
      </w:pPr>
    </w:p>
    <w:p w14:paraId="48C1ABF2">
      <w:pPr>
        <w:spacing w:after="200" w:line="360" w:lineRule="auto"/>
        <w:jc w:val="both"/>
      </w:pPr>
      <w:r>
        <w:rPr>
          <w:b/>
          <w:bCs/>
          <w:sz w:val="24"/>
          <w:szCs w:val="24"/>
        </w:rPr>
        <w:t xml:space="preserve">Requerente: </w:t>
      </w:r>
      <w:r>
        <w:rPr>
          <w:sz w:val="24"/>
          <w:szCs w:val="24"/>
        </w:rPr>
        <w:t>MARIA TERESA COSTA BRITES ROCHA</w:t>
      </w:r>
    </w:p>
    <w:p w14:paraId="7F6F3705">
      <w:pPr>
        <w:spacing w:after="300" w:line="360" w:lineRule="auto"/>
        <w:jc w:val="both"/>
      </w:pPr>
      <w:r>
        <w:rPr>
          <w:b/>
          <w:bCs/>
          <w:sz w:val="24"/>
          <w:szCs w:val="24"/>
        </w:rPr>
        <w:t xml:space="preserve">Requerido: </w:t>
      </w:r>
      <w:r>
        <w:rPr>
          <w:sz w:val="24"/>
          <w:szCs w:val="24"/>
        </w:rPr>
        <w:t>NUNO MIGUEL SILVA DUARTE</w:t>
      </w:r>
    </w:p>
    <w:p w14:paraId="0AC53225">
      <w:pPr>
        <w:spacing w:after="200"/>
      </w:pPr>
    </w:p>
    <w:p w14:paraId="7775DB17">
      <w:pPr>
        <w:spacing w:after="300" w:line="360" w:lineRule="auto"/>
        <w:jc w:val="both"/>
      </w:pPr>
      <w:r>
        <w:rPr>
          <w:b/>
          <w:bCs/>
          <w:sz w:val="24"/>
          <w:szCs w:val="24"/>
        </w:rPr>
        <w:t>NUNO MIGUEL SILVA DUARTE</w:t>
      </w:r>
      <w:r>
        <w:rPr>
          <w:sz w:val="24"/>
          <w:szCs w:val="24"/>
        </w:rPr>
        <w:t>, NIF 254 048 382, Requerido nos autos à margem identificados, vem, nos termos e ao abrigo do disposto nos artigos 3.º, n.º 3, 7.º, 410.º, n.º 2, alínea b), 417.º, 429.º e 588.º do Código de Processo Civil, expor e requerer o seguinte:</w:t>
      </w:r>
    </w:p>
    <w:p w14:paraId="248D74F5">
      <w:pPr>
        <w:spacing w:after="200"/>
      </w:pPr>
    </w:p>
    <w:p w14:paraId="40C36FC9">
      <w:pPr>
        <w:spacing w:after="200" w:line="360" w:lineRule="auto"/>
        <w:jc w:val="both"/>
      </w:pPr>
      <w:r>
        <w:rPr>
          <w:b/>
          <w:bCs/>
          <w:sz w:val="24"/>
          <w:szCs w:val="24"/>
        </w:rPr>
        <w:t>1.º</w:t>
      </w:r>
    </w:p>
    <w:p w14:paraId="729B22DD">
      <w:pPr>
        <w:spacing w:after="300" w:line="360" w:lineRule="auto"/>
        <w:jc w:val="both"/>
      </w:pPr>
      <w:r>
        <w:rPr>
          <w:sz w:val="24"/>
          <w:szCs w:val="24"/>
        </w:rPr>
        <w:t xml:space="preserve">O Requerido encontra-se sem representação legal efectiva, não obstante ter sido deferido apoio judiciário sob o n.º 927013. Foram </w:t>
      </w:r>
      <w:r>
        <w:rPr>
          <w:rFonts w:hint="default"/>
          <w:sz w:val="24"/>
          <w:szCs w:val="24"/>
          <w:lang w:val="en-US"/>
        </w:rPr>
        <w:t xml:space="preserve">contatados </w:t>
      </w:r>
      <w:r>
        <w:rPr>
          <w:sz w:val="24"/>
          <w:szCs w:val="24"/>
        </w:rPr>
        <w:t xml:space="preserve">sucessivamente </w:t>
      </w:r>
      <w:r>
        <w:rPr>
          <w:rFonts w:hint="default"/>
          <w:sz w:val="24"/>
          <w:szCs w:val="24"/>
          <w:lang w:val="en-US"/>
        </w:rPr>
        <w:t xml:space="preserve">mandatarios e </w:t>
      </w:r>
      <w:r>
        <w:rPr>
          <w:sz w:val="24"/>
          <w:szCs w:val="24"/>
        </w:rPr>
        <w:t xml:space="preserve"> Segurança Social que recusaram o patrocínio ou não prestaram qualquer resposta, deixando o Requerido sem defesa técnica em processo de natureza urgente.</w:t>
      </w:r>
    </w:p>
    <w:p w14:paraId="4D917495">
      <w:pPr>
        <w:spacing w:after="200" w:line="360" w:lineRule="auto"/>
        <w:jc w:val="both"/>
      </w:pPr>
      <w:r>
        <w:rPr>
          <w:b/>
          <w:bCs/>
          <w:sz w:val="24"/>
          <w:szCs w:val="24"/>
        </w:rPr>
        <w:t>2.º</w:t>
      </w:r>
    </w:p>
    <w:p w14:paraId="7FD8CBA8">
      <w:pPr>
        <w:spacing w:after="300" w:line="360" w:lineRule="auto"/>
        <w:jc w:val="both"/>
      </w:pPr>
      <w:r>
        <w:rPr>
          <w:sz w:val="24"/>
          <w:szCs w:val="24"/>
        </w:rPr>
        <w:t>Por iniciativa própria e a título particular, o Requerido contactou mais de quinze advogados. Nenhum aceitou o patrocínio após análise dos autos, circunstância que evidencia a complexidade técnica e as particularidades da relação material em discussão.</w:t>
      </w:r>
    </w:p>
    <w:p w14:paraId="4D0D03CE">
      <w:pPr>
        <w:spacing w:after="200" w:line="360" w:lineRule="auto"/>
        <w:jc w:val="both"/>
      </w:pPr>
      <w:r>
        <w:rPr>
          <w:b/>
          <w:bCs/>
          <w:sz w:val="24"/>
          <w:szCs w:val="24"/>
        </w:rPr>
        <w:t>3.º</w:t>
      </w:r>
    </w:p>
    <w:p w14:paraId="37E225B7">
      <w:pPr>
        <w:spacing w:after="300" w:line="360" w:lineRule="auto"/>
        <w:jc w:val="both"/>
      </w:pPr>
      <w:r>
        <w:rPr>
          <w:sz w:val="24"/>
          <w:szCs w:val="24"/>
        </w:rPr>
        <w:t xml:space="preserve">O anterior mandatário, nomeado no âmbito do apoio judiciário, instruiu o Requerido a não juntar prova documental antes da audiência, não arrolou testemunhas essenciais indicadas pelo Requerido, não requereu diligências probatórias relevantes, e posteriormente </w:t>
      </w:r>
      <w:r>
        <w:rPr>
          <w:rFonts w:hint="default"/>
          <w:sz w:val="24"/>
          <w:szCs w:val="24"/>
          <w:lang w:val="en-US"/>
        </w:rPr>
        <w:t xml:space="preserve">abandonou </w:t>
      </w:r>
      <w:r>
        <w:rPr>
          <w:sz w:val="24"/>
          <w:szCs w:val="24"/>
        </w:rPr>
        <w:t>o mandato</w:t>
      </w:r>
      <w:r>
        <w:rPr>
          <w:rFonts w:hint="default"/>
          <w:sz w:val="24"/>
          <w:szCs w:val="24"/>
          <w:lang w:val="en-US"/>
        </w:rPr>
        <w:t xml:space="preserve">, mediante pedido farei dentro do prazo defenido pelo tribunal prova das tentativas e diligencias de </w:t>
      </w:r>
      <w:r>
        <w:rPr>
          <w:sz w:val="24"/>
          <w:szCs w:val="24"/>
        </w:rPr>
        <w:t>assegurar transição adequada</w:t>
      </w:r>
      <w:r>
        <w:rPr>
          <w:rFonts w:hint="default"/>
          <w:sz w:val="24"/>
          <w:szCs w:val="24"/>
          <w:lang w:val="en-US"/>
        </w:rPr>
        <w:t xml:space="preserve"> de Mandatario</w:t>
      </w:r>
      <w:r>
        <w:rPr>
          <w:sz w:val="24"/>
          <w:szCs w:val="24"/>
        </w:rPr>
        <w:t>.</w:t>
      </w:r>
    </w:p>
    <w:p w14:paraId="4B0236D4">
      <w:pPr>
        <w:spacing w:after="200" w:line="360" w:lineRule="auto"/>
        <w:jc w:val="both"/>
      </w:pPr>
      <w:r>
        <w:rPr>
          <w:b/>
          <w:bCs/>
          <w:sz w:val="24"/>
          <w:szCs w:val="24"/>
        </w:rPr>
        <w:t>4.º</w:t>
      </w:r>
    </w:p>
    <w:p w14:paraId="6715E7C0">
      <w:pPr>
        <w:spacing w:after="300" w:line="360" w:lineRule="auto"/>
        <w:jc w:val="both"/>
      </w:pPr>
      <w:r>
        <w:rPr>
          <w:sz w:val="24"/>
          <w:szCs w:val="24"/>
        </w:rPr>
        <w:t>Sem prejuízo do respeito institucional pelas entidades envolvidas, descrevem-se factos objectivos e documentáveis que configuram situação de indefesa material, em violação do direito fundamental de acesso à justiça consagrado no artigo 20.º da Constituição da República Portuguesa.</w:t>
      </w:r>
    </w:p>
    <w:p w14:paraId="3CD078B5">
      <w:pPr>
        <w:spacing w:after="200" w:line="360" w:lineRule="auto"/>
        <w:jc w:val="both"/>
      </w:pPr>
      <w:r>
        <w:rPr>
          <w:b/>
          <w:bCs/>
          <w:sz w:val="24"/>
          <w:szCs w:val="24"/>
        </w:rPr>
        <w:t>5.º</w:t>
      </w:r>
    </w:p>
    <w:p w14:paraId="4ED53BB9">
      <w:pPr>
        <w:spacing w:after="300" w:line="360" w:lineRule="auto"/>
        <w:jc w:val="both"/>
        <w:rPr>
          <w:rFonts w:hint="default"/>
          <w:lang w:val="en-US"/>
        </w:rPr>
      </w:pPr>
      <w:r>
        <w:rPr>
          <w:sz w:val="24"/>
          <w:szCs w:val="24"/>
        </w:rPr>
        <w:t xml:space="preserve">Requer-se a nomeação urgente de patrono e a concessão de prazo adequado para preparação da defesa. Solicita-se igualmente que as notificações sejam remetidas para </w:t>
      </w:r>
      <w:r>
        <w:rPr>
          <w:b/>
          <w:bCs/>
          <w:sz w:val="24"/>
          <w:szCs w:val="24"/>
        </w:rPr>
        <w:t>nunomiguelsilvaduarte@gmail.com</w:t>
      </w:r>
      <w:r>
        <w:rPr>
          <w:sz w:val="24"/>
          <w:szCs w:val="24"/>
        </w:rPr>
        <w:t>, atenta a comprovada dificuldade de recepção de correspondência.</w:t>
      </w:r>
      <w:r>
        <w:rPr>
          <w:rFonts w:hint="default"/>
          <w:sz w:val="24"/>
          <w:szCs w:val="24"/>
          <w:lang w:val="en-US"/>
        </w:rPr>
        <w:t xml:space="preserve"> Na ultma audiencia nem o Requerido nem as testemunhas do Requerido receberam carta registada.</w:t>
      </w:r>
    </w:p>
    <w:p w14:paraId="3E3D97A1">
      <w:pPr>
        <w:spacing w:after="200" w:line="360" w:lineRule="auto"/>
        <w:jc w:val="both"/>
      </w:pPr>
      <w:r>
        <w:rPr>
          <w:b/>
          <w:bCs/>
          <w:sz w:val="24"/>
          <w:szCs w:val="24"/>
        </w:rPr>
        <w:t>6.º</w:t>
      </w:r>
    </w:p>
    <w:p w14:paraId="4AE9CB62">
      <w:pPr>
        <w:spacing w:after="300" w:line="360" w:lineRule="auto"/>
        <w:jc w:val="both"/>
      </w:pPr>
      <w:r>
        <w:rPr>
          <w:sz w:val="24"/>
          <w:szCs w:val="24"/>
        </w:rPr>
        <w:t>A providência requerida configura, na sua substância jurídica, uma restituição provisória de posse, sujeita ao regime estrito dos artigos 377.º e 378.º do Código de Processo Civil. Este regime exige prova concreta, circunstanciada e recente de esbulho, podendo ainda exigir demonstração de violência ou clandestinidade.</w:t>
      </w:r>
    </w:p>
    <w:p w14:paraId="36D13D22">
      <w:pPr>
        <w:spacing w:after="200" w:line="360" w:lineRule="auto"/>
        <w:jc w:val="both"/>
      </w:pPr>
      <w:r>
        <w:rPr>
          <w:b/>
          <w:bCs/>
          <w:sz w:val="24"/>
          <w:szCs w:val="24"/>
        </w:rPr>
        <w:t>7.º</w:t>
      </w:r>
    </w:p>
    <w:p w14:paraId="4169E0A4">
      <w:pPr>
        <w:spacing w:after="300" w:line="360" w:lineRule="auto"/>
        <w:jc w:val="both"/>
      </w:pPr>
      <w:r>
        <w:rPr>
          <w:sz w:val="24"/>
          <w:szCs w:val="24"/>
        </w:rPr>
        <w:t>Nada nos autos permite qualificar juridicamente qualquer acto como esbulho, mesmo em leitura ampla do conceito. A situação descrita não corresponde, em rigor técnico, a qualquer forma de esbulho juridicamente qualificável, sendo a permanência no imóvel antiga, estável, conhecida e nunca contrariada.</w:t>
      </w:r>
    </w:p>
    <w:p w14:paraId="232368D5">
      <w:pPr>
        <w:spacing w:after="200" w:line="360" w:lineRule="auto"/>
        <w:jc w:val="both"/>
      </w:pPr>
      <w:r>
        <w:rPr>
          <w:b/>
          <w:bCs/>
          <w:sz w:val="24"/>
          <w:szCs w:val="24"/>
        </w:rPr>
        <w:t>8.º</w:t>
      </w:r>
    </w:p>
    <w:p w14:paraId="0F26714D">
      <w:pPr>
        <w:spacing w:after="300" w:line="360" w:lineRule="auto"/>
        <w:jc w:val="both"/>
      </w:pPr>
      <w:r>
        <w:rPr>
          <w:sz w:val="24"/>
          <w:szCs w:val="24"/>
        </w:rPr>
        <w:t>Os autos não revelam qualquer mutação possessória relevante que permita enquadrar a situação nos pressupostos da restituição provisória de posse. A situação descrita é estável, prolongada e conhecida, não revelando qualquer alteração recente que justificasse tutela urgente.</w:t>
      </w:r>
    </w:p>
    <w:p w14:paraId="481A3ADC">
      <w:pPr>
        <w:spacing w:after="200" w:line="360" w:lineRule="auto"/>
        <w:jc w:val="both"/>
      </w:pPr>
      <w:r>
        <w:rPr>
          <w:b/>
          <w:bCs/>
          <w:sz w:val="24"/>
          <w:szCs w:val="24"/>
        </w:rPr>
        <w:t>9.º</w:t>
      </w:r>
    </w:p>
    <w:p w14:paraId="3E3B9CC0">
      <w:pPr>
        <w:spacing w:after="300" w:line="360" w:lineRule="auto"/>
        <w:jc w:val="both"/>
      </w:pPr>
      <w:r>
        <w:rPr>
          <w:sz w:val="24"/>
          <w:szCs w:val="24"/>
        </w:rPr>
        <w:t>O Requerido exerce posse sobre o imóvel há mais de oito anos, de forma pública, pacífica, contínua e de boa-fé, nos termos dos artigos 1251.º, 1253.º, 1258.º e 1260.º do Código Civil.</w:t>
      </w:r>
    </w:p>
    <w:p w14:paraId="09F5A910">
      <w:pPr>
        <w:spacing w:after="200" w:line="360" w:lineRule="auto"/>
        <w:jc w:val="both"/>
      </w:pPr>
      <w:r>
        <w:rPr>
          <w:b/>
          <w:bCs/>
          <w:sz w:val="24"/>
          <w:szCs w:val="24"/>
        </w:rPr>
        <w:t>10.º</w:t>
      </w:r>
    </w:p>
    <w:p w14:paraId="45F7333A">
      <w:pPr>
        <w:spacing w:after="300" w:line="360" w:lineRule="auto"/>
        <w:jc w:val="both"/>
      </w:pPr>
      <w:r>
        <w:rPr>
          <w:sz w:val="24"/>
          <w:szCs w:val="24"/>
        </w:rPr>
        <w:t>A detenção prolongada, pacífica e pública beneficia da presunção legal de boa-fé e de exercício em nome próprio, nos termos dos artigos 1257.º e 1260.º do Código Civil. Esta presunção opera até prova em contrário, que não foi produzida.</w:t>
      </w:r>
    </w:p>
    <w:p w14:paraId="7B3AC13D">
      <w:pPr>
        <w:spacing w:after="200" w:line="360" w:lineRule="auto"/>
        <w:jc w:val="both"/>
      </w:pPr>
      <w:r>
        <w:rPr>
          <w:b/>
          <w:bCs/>
          <w:sz w:val="24"/>
          <w:szCs w:val="24"/>
        </w:rPr>
        <w:t>11.º</w:t>
      </w:r>
    </w:p>
    <w:p w14:paraId="57239ECC">
      <w:pPr>
        <w:spacing w:after="300" w:line="360" w:lineRule="auto"/>
        <w:jc w:val="both"/>
      </w:pPr>
      <w:r>
        <w:rPr>
          <w:sz w:val="24"/>
          <w:szCs w:val="24"/>
        </w:rPr>
        <w:t>Durante vários anos, não foi praticado qualquer acto de oposição útil que pudesse interromper ou questionar a detenção exercida pelo Requerido. A Requerente, através dos seus representantes que conheciam a situação, nunca exigiu a entrega do imóvel, nunca interpelou o Requerido, nunca instaurou qualquer procedimento.</w:t>
      </w:r>
    </w:p>
    <w:p w14:paraId="1C912B1F">
      <w:pPr>
        <w:spacing w:after="200" w:line="360" w:lineRule="auto"/>
        <w:jc w:val="both"/>
      </w:pPr>
      <w:r>
        <w:rPr>
          <w:b/>
          <w:bCs/>
          <w:sz w:val="24"/>
          <w:szCs w:val="24"/>
        </w:rPr>
        <w:t>12.º</w:t>
      </w:r>
    </w:p>
    <w:p w14:paraId="2417BED1">
      <w:pPr>
        <w:spacing w:after="300" w:line="360" w:lineRule="auto"/>
        <w:jc w:val="both"/>
      </w:pPr>
      <w:r>
        <w:rPr>
          <w:sz w:val="24"/>
          <w:szCs w:val="24"/>
        </w:rPr>
        <w:t>O Requerido é credor da Requerente por valores emergentes de benfeitorias e obras de conservação, despesas essenciais suportadas, e gestão operacional que permitiu a exploração económica do imóvel e gerou rendimentos para a Requerente.</w:t>
      </w:r>
    </w:p>
    <w:p w14:paraId="7D263E6B">
      <w:pPr>
        <w:spacing w:after="200" w:line="360" w:lineRule="auto"/>
        <w:jc w:val="both"/>
      </w:pPr>
      <w:r>
        <w:rPr>
          <w:b/>
          <w:bCs/>
          <w:sz w:val="24"/>
          <w:szCs w:val="24"/>
        </w:rPr>
        <w:t>13.º</w:t>
      </w:r>
    </w:p>
    <w:p w14:paraId="148FA6D1">
      <w:pPr>
        <w:spacing w:after="300" w:line="360" w:lineRule="auto"/>
        <w:jc w:val="both"/>
      </w:pPr>
      <w:r>
        <w:rPr>
          <w:sz w:val="24"/>
          <w:szCs w:val="24"/>
        </w:rPr>
        <w:t>A própria testemunha da Requerente, Sr. Filipe Delgado, reconheceu em audiência a existência de dívidas e que a permanência constituía forma de compensação. Este reconhecimento reveste relevância processual.</w:t>
      </w:r>
    </w:p>
    <w:p w14:paraId="4452F88E">
      <w:pPr>
        <w:spacing w:after="200" w:line="360" w:lineRule="auto"/>
        <w:jc w:val="both"/>
      </w:pPr>
      <w:r>
        <w:rPr>
          <w:b/>
          <w:bCs/>
          <w:sz w:val="24"/>
          <w:szCs w:val="24"/>
        </w:rPr>
        <w:t>14.º</w:t>
      </w:r>
    </w:p>
    <w:p w14:paraId="55F9BBE4">
      <w:pPr>
        <w:spacing w:after="300" w:line="360" w:lineRule="auto"/>
        <w:jc w:val="both"/>
      </w:pPr>
      <w:r>
        <w:rPr>
          <w:sz w:val="24"/>
          <w:szCs w:val="24"/>
        </w:rPr>
        <w:t>Verificados os pressupostos legais do artigo 754.º do Código Civil, o direito de retenção constitui impedimento jurídico absoluto à restituição enquanto subsistirem créditos conexos não liquidados. Nos termos do artigo 756.º do mesmo diploma, o retentor não pode ser obrigado a restituir a coisa enquanto o seu crédito não for satisfeito.</w:t>
      </w:r>
    </w:p>
    <w:p w14:paraId="594AABBB">
      <w:pPr>
        <w:spacing w:after="200" w:line="360" w:lineRule="auto"/>
        <w:jc w:val="both"/>
        <w:rPr>
          <w:b/>
          <w:bCs/>
          <w:sz w:val="24"/>
          <w:szCs w:val="24"/>
        </w:rPr>
      </w:pPr>
    </w:p>
    <w:p w14:paraId="14413916">
      <w:pPr>
        <w:spacing w:after="200" w:line="360" w:lineRule="auto"/>
        <w:jc w:val="both"/>
      </w:pPr>
      <w:r>
        <w:rPr>
          <w:b/>
          <w:bCs/>
          <w:sz w:val="24"/>
          <w:szCs w:val="24"/>
        </w:rPr>
        <w:t>15.º</w:t>
      </w:r>
    </w:p>
    <w:p w14:paraId="1AA74FAB">
      <w:pPr>
        <w:spacing w:after="300" w:line="360" w:lineRule="auto"/>
        <w:jc w:val="both"/>
      </w:pPr>
      <w:r>
        <w:rPr>
          <w:sz w:val="24"/>
          <w:szCs w:val="24"/>
        </w:rPr>
        <w:t>Trata-se de matéria de conhecimento oficioso, que o Tribunal deve apreciar independentemente de pedido expresso, por se tratar de excepção material peremptória que obsta à procedência do pedido.</w:t>
      </w:r>
    </w:p>
    <w:p w14:paraId="68888B3E">
      <w:pPr>
        <w:spacing w:after="200" w:line="360" w:lineRule="auto"/>
        <w:jc w:val="both"/>
      </w:pPr>
      <w:r>
        <w:rPr>
          <w:b/>
          <w:bCs/>
          <w:sz w:val="24"/>
          <w:szCs w:val="24"/>
        </w:rPr>
        <w:t>16.º</w:t>
      </w:r>
    </w:p>
    <w:p w14:paraId="61EAC5F2">
      <w:pPr>
        <w:spacing w:after="300" w:line="360" w:lineRule="auto"/>
        <w:jc w:val="both"/>
      </w:pPr>
      <w:r>
        <w:rPr>
          <w:sz w:val="24"/>
          <w:szCs w:val="24"/>
        </w:rPr>
        <w:t>Verificam-se os pressupostos do enriquecimento sem causa previstos nos artigos 473.º e seguintes do Código Civil: (i) enriquecimento da Requerente; (ii) empobrecimento correlativo do Requerido; (iii) nexo causal directo; (iv) ausência de causa justificativa — todos verificados.</w:t>
      </w:r>
    </w:p>
    <w:p w14:paraId="2F0ED884">
      <w:pPr>
        <w:spacing w:after="200" w:line="360" w:lineRule="auto"/>
        <w:jc w:val="both"/>
      </w:pPr>
      <w:r>
        <w:rPr>
          <w:b/>
          <w:bCs/>
          <w:sz w:val="24"/>
          <w:szCs w:val="24"/>
        </w:rPr>
        <w:t>17.º</w:t>
      </w:r>
    </w:p>
    <w:p w14:paraId="15CC47E2">
      <w:pPr>
        <w:spacing w:after="300" w:line="360" w:lineRule="auto"/>
        <w:jc w:val="both"/>
      </w:pPr>
      <w:r>
        <w:rPr>
          <w:sz w:val="24"/>
          <w:szCs w:val="24"/>
        </w:rPr>
        <w:t>A Requerente não juntou aos autos qualquer documento essencial: contratos de exploração, recibos de rendas, licenças de alojamento local, declarações fiscais, certidão predial actualizada, participação policial, relatório técnico ou prova de interpelação.</w:t>
      </w:r>
    </w:p>
    <w:p w14:paraId="297CA315">
      <w:pPr>
        <w:spacing w:after="200" w:line="360" w:lineRule="auto"/>
        <w:jc w:val="both"/>
      </w:pPr>
      <w:r>
        <w:rPr>
          <w:b/>
          <w:bCs/>
          <w:sz w:val="24"/>
          <w:szCs w:val="24"/>
        </w:rPr>
        <w:t>18.º</w:t>
      </w:r>
    </w:p>
    <w:p w14:paraId="60F26F95">
      <w:pPr>
        <w:spacing w:after="300" w:line="360" w:lineRule="auto"/>
        <w:jc w:val="both"/>
      </w:pPr>
      <w:r>
        <w:rPr>
          <w:sz w:val="24"/>
          <w:szCs w:val="24"/>
        </w:rPr>
        <w:t>Sem prova documental primária, não é possível formar o grau mínimo de convicção exigido para qualquer medida que altere a situação de facto existente. A aparência do direito não pode ser presumida: depende de elementos que, nos presentes autos, não se encontram demonstrados.</w:t>
      </w:r>
    </w:p>
    <w:p w14:paraId="39E00E2C">
      <w:pPr>
        <w:spacing w:after="200" w:line="360" w:lineRule="auto"/>
        <w:jc w:val="both"/>
      </w:pPr>
      <w:r>
        <w:rPr>
          <w:b/>
          <w:bCs/>
          <w:sz w:val="24"/>
          <w:szCs w:val="24"/>
        </w:rPr>
        <w:t>19.º</w:t>
      </w:r>
    </w:p>
    <w:p w14:paraId="4E41E6FD">
      <w:pPr>
        <w:spacing w:after="300" w:line="360" w:lineRule="auto"/>
        <w:jc w:val="both"/>
      </w:pPr>
      <w:r>
        <w:rPr>
          <w:sz w:val="24"/>
          <w:szCs w:val="24"/>
        </w:rPr>
        <w:t>A alegação de direito não dispensa a prova dos factos essenciais que o integram, e a ausência dessa demonstração impede o juízo mínimo de verosimilhança exigido pelo artigo 362.º do Código de Processo Civil.</w:t>
      </w:r>
    </w:p>
    <w:p w14:paraId="3743AE74">
      <w:pPr>
        <w:spacing w:after="200" w:line="360" w:lineRule="auto"/>
        <w:jc w:val="both"/>
      </w:pPr>
      <w:r>
        <w:rPr>
          <w:b/>
          <w:bCs/>
          <w:sz w:val="24"/>
          <w:szCs w:val="24"/>
        </w:rPr>
        <w:t>20.º</w:t>
      </w:r>
    </w:p>
    <w:p w14:paraId="1437233F">
      <w:pPr>
        <w:spacing w:after="300" w:line="360" w:lineRule="auto"/>
        <w:jc w:val="both"/>
      </w:pPr>
      <w:r>
        <w:rPr>
          <w:sz w:val="24"/>
          <w:szCs w:val="24"/>
        </w:rPr>
        <w:t>As declarações das testemunhas indicadas pela própria Requerente revelam factos incompatíveis com a tese apresentada na petição inicial. A factualidade apresentada não permite reconstruir um quadro narrativo coerente com a qualificação jurídica pretendida.</w:t>
      </w:r>
    </w:p>
    <w:p w14:paraId="5B8F0ACD">
      <w:pPr>
        <w:spacing w:after="200" w:line="360" w:lineRule="auto"/>
        <w:jc w:val="both"/>
      </w:pPr>
      <w:r>
        <w:rPr>
          <w:b/>
          <w:bCs/>
          <w:sz w:val="24"/>
          <w:szCs w:val="24"/>
        </w:rPr>
        <w:t>21.º</w:t>
      </w:r>
    </w:p>
    <w:p w14:paraId="0B4D994B">
      <w:pPr>
        <w:spacing w:after="300" w:line="360" w:lineRule="auto"/>
        <w:jc w:val="both"/>
      </w:pPr>
      <w:r>
        <w:rPr>
          <w:sz w:val="24"/>
          <w:szCs w:val="24"/>
        </w:rPr>
        <w:t>A testemunha Filipe Delgado declarou que o Requerido reside no imóvel desde 2021, enquanto a petição inicial alega invasão em 2024. Reconheceu dívidas e compensação, enquanto a petição qualifica os créditos como fabricados.</w:t>
      </w:r>
    </w:p>
    <w:p w14:paraId="1A1F6318">
      <w:pPr>
        <w:spacing w:after="200" w:line="360" w:lineRule="auto"/>
        <w:jc w:val="both"/>
      </w:pPr>
      <w:r>
        <w:rPr>
          <w:b/>
          <w:bCs/>
          <w:sz w:val="24"/>
          <w:szCs w:val="24"/>
        </w:rPr>
        <w:t>22.º</w:t>
      </w:r>
    </w:p>
    <w:p w14:paraId="05CD9634">
      <w:pPr>
        <w:spacing w:after="300" w:line="360" w:lineRule="auto"/>
        <w:jc w:val="both"/>
      </w:pPr>
      <w:r>
        <w:rPr>
          <w:sz w:val="24"/>
          <w:szCs w:val="24"/>
        </w:rPr>
        <w:t>A testemunha João Pedro, procurador da Requerente há mais de vinte anos, confirmou conhecer o Requerido há vários anos, enquanto a petição alega desconhecimento. Nos termos do artigo 258.º do Código Civil, o conhecimento do representante é juridicamente imputável ao representado.</w:t>
      </w:r>
    </w:p>
    <w:p w14:paraId="0248C970">
      <w:pPr>
        <w:spacing w:after="200" w:line="360" w:lineRule="auto"/>
        <w:jc w:val="both"/>
      </w:pPr>
      <w:r>
        <w:rPr>
          <w:b/>
          <w:bCs/>
          <w:sz w:val="24"/>
          <w:szCs w:val="24"/>
        </w:rPr>
        <w:t>23.º</w:t>
      </w:r>
    </w:p>
    <w:p w14:paraId="6D102EAB">
      <w:pPr>
        <w:spacing w:after="300" w:line="360" w:lineRule="auto"/>
        <w:jc w:val="both"/>
      </w:pPr>
      <w:r>
        <w:rPr>
          <w:sz w:val="24"/>
          <w:szCs w:val="24"/>
        </w:rPr>
        <w:t>Quanto às alegadas ameaças: nenhuma testemunha confirmou qualquer episódio, não existe participação policial, não existe queixa-crime, não existe qualquer registo em oito anos.</w:t>
      </w:r>
    </w:p>
    <w:p w14:paraId="2D071A6B">
      <w:pPr>
        <w:spacing w:after="200" w:line="360" w:lineRule="auto"/>
        <w:jc w:val="both"/>
      </w:pPr>
      <w:r>
        <w:rPr>
          <w:b/>
          <w:bCs/>
          <w:sz w:val="24"/>
          <w:szCs w:val="24"/>
        </w:rPr>
        <w:t>24.º</w:t>
      </w:r>
    </w:p>
    <w:p w14:paraId="3492A368">
      <w:pPr>
        <w:spacing w:after="300" w:line="360" w:lineRule="auto"/>
        <w:jc w:val="both"/>
      </w:pPr>
      <w:r>
        <w:rPr>
          <w:sz w:val="24"/>
          <w:szCs w:val="24"/>
        </w:rPr>
        <w:t>Nada nos autos revela alteração súbita, inesperada ou relevante que justifique actuação judicial urgente. Não se verifica qualquer facto recente que permita enquadrar a presente pretensão nos mecanismos excepcionais de tutela imediata.</w:t>
      </w:r>
    </w:p>
    <w:p w14:paraId="4D42237D">
      <w:pPr>
        <w:spacing w:after="200" w:line="360" w:lineRule="auto"/>
        <w:jc w:val="both"/>
      </w:pPr>
      <w:r>
        <w:rPr>
          <w:b/>
          <w:bCs/>
          <w:sz w:val="24"/>
          <w:szCs w:val="24"/>
        </w:rPr>
        <w:t>25.º</w:t>
      </w:r>
    </w:p>
    <w:p w14:paraId="4B6DBE7C">
      <w:pPr>
        <w:spacing w:after="300" w:line="360" w:lineRule="auto"/>
        <w:jc w:val="both"/>
      </w:pPr>
      <w:r>
        <w:rPr>
          <w:sz w:val="24"/>
          <w:szCs w:val="24"/>
        </w:rPr>
        <w:t>Os riscos invocados resultam, em larga medida, de actos praticados pela própria Requerente ou pelos seus representantes. O corte de água foi efectuado em Março de 2024 por iniciativa da Requerente, com conhecimento de que o Requerido habitava o imóvel. A configuração eléctrica resulta de intervenção técnica da E-Redes em 2018/2019, por falta de pagamentos que eram responsabilidade da estrutura da Requerente.</w:t>
      </w:r>
    </w:p>
    <w:p w14:paraId="27A42B45">
      <w:pPr>
        <w:spacing w:after="200" w:line="360" w:lineRule="auto"/>
        <w:jc w:val="both"/>
      </w:pPr>
      <w:r>
        <w:rPr>
          <w:b/>
          <w:bCs/>
          <w:sz w:val="24"/>
          <w:szCs w:val="24"/>
        </w:rPr>
        <w:t>26.º</w:t>
      </w:r>
    </w:p>
    <w:p w14:paraId="60B1DD05">
      <w:pPr>
        <w:spacing w:after="300" w:line="360" w:lineRule="auto"/>
        <w:jc w:val="both"/>
      </w:pPr>
      <w:r>
        <w:rPr>
          <w:sz w:val="24"/>
          <w:szCs w:val="24"/>
        </w:rPr>
        <w:t>A providência cautelar pressupõe instabilidade; os autos demonstram precisamente o contrário. A inércia prolongada durante aproximadamente oito anos afasta, por definição, a existência de perigo iminente e é incompatível com o requisito de urgência do artigo 368.º do Código de Processo Civil.</w:t>
      </w:r>
    </w:p>
    <w:p w14:paraId="02D0DD01">
      <w:pPr>
        <w:spacing w:after="200" w:line="360" w:lineRule="auto"/>
        <w:jc w:val="both"/>
      </w:pPr>
      <w:r>
        <w:rPr>
          <w:b/>
          <w:bCs/>
          <w:sz w:val="24"/>
          <w:szCs w:val="24"/>
        </w:rPr>
        <w:t>27.º</w:t>
      </w:r>
    </w:p>
    <w:p w14:paraId="7071D083">
      <w:pPr>
        <w:spacing w:after="300" w:line="360" w:lineRule="auto"/>
        <w:jc w:val="both"/>
      </w:pPr>
      <w:r>
        <w:rPr>
          <w:sz w:val="24"/>
          <w:szCs w:val="24"/>
        </w:rPr>
        <w:t>A medida requerida produziria efeitos práticos dificilmente reversíveis, aproximando-se de uma decisão definitiva sem instrução completa, o que é incompatível com a função meramente instrumental da tutela cautelar.</w:t>
      </w:r>
    </w:p>
    <w:p w14:paraId="02379B89">
      <w:pPr>
        <w:spacing w:after="200" w:line="360" w:lineRule="auto"/>
        <w:jc w:val="both"/>
      </w:pPr>
      <w:r>
        <w:rPr>
          <w:b/>
          <w:bCs/>
          <w:sz w:val="24"/>
          <w:szCs w:val="24"/>
        </w:rPr>
        <w:t>28.º</w:t>
      </w:r>
    </w:p>
    <w:p w14:paraId="797A7E6D">
      <w:pPr>
        <w:spacing w:after="300" w:line="360" w:lineRule="auto"/>
        <w:jc w:val="both"/>
      </w:pPr>
      <w:r>
        <w:rPr>
          <w:sz w:val="24"/>
          <w:szCs w:val="24"/>
        </w:rPr>
        <w:t>A concessão da providência, nos presentes termos, criaria um desequilíbrio irreversível entre as partes, em violação do princípio da proporcionalidade consagrado no artigo 368.º, n.º 2, do Código de Processo Civil e do direito à habitação previsto no artigo 65.º da Constituição.</w:t>
      </w:r>
    </w:p>
    <w:p w14:paraId="49D8CE4B">
      <w:pPr>
        <w:spacing w:after="200" w:line="360" w:lineRule="auto"/>
        <w:jc w:val="both"/>
      </w:pPr>
      <w:r>
        <w:rPr>
          <w:b/>
          <w:bCs/>
          <w:sz w:val="24"/>
          <w:szCs w:val="24"/>
        </w:rPr>
        <w:t>29.º</w:t>
      </w:r>
    </w:p>
    <w:p w14:paraId="423130DB">
      <w:pPr>
        <w:spacing w:after="300" w:line="360" w:lineRule="auto"/>
        <w:jc w:val="both"/>
      </w:pPr>
      <w:r>
        <w:rPr>
          <w:sz w:val="24"/>
          <w:szCs w:val="24"/>
        </w:rPr>
        <w:t>Os elementos constantes dos autos não evidenciam um conflito possessório, mas sim questões de natureza contabilística e obrigacional que extravasam o âmbito da providência requerida. A actuação descrita não se coaduna com o modelo de tutela urgente, que pressupõe transparência factual, coerência interna e documentação mínima.</w:t>
      </w:r>
    </w:p>
    <w:p w14:paraId="26AB5F8F">
      <w:pPr>
        <w:spacing w:after="200" w:line="360" w:lineRule="auto"/>
        <w:jc w:val="both"/>
      </w:pPr>
      <w:r>
        <w:rPr>
          <w:b/>
          <w:bCs/>
          <w:sz w:val="24"/>
          <w:szCs w:val="24"/>
        </w:rPr>
        <w:t>30.º</w:t>
      </w:r>
    </w:p>
    <w:p w14:paraId="0B9F4654">
      <w:pPr>
        <w:spacing w:after="300" w:line="360" w:lineRule="auto"/>
        <w:jc w:val="both"/>
      </w:pPr>
      <w:r>
        <w:rPr>
          <w:sz w:val="24"/>
          <w:szCs w:val="24"/>
        </w:rPr>
        <w:t>Nos termos dos artigos 410.º, n.º 2, alínea b), 417.º e 429.º do Código de Processo Civil, requer-se que V. Ex.ª determine à Requerente que junte aos autos, no prazo de 10 dias: certidão predial actualizada, contratos de exploração, recibos, declarações fiscais, licenças de alojamento local, participações policiais, relatórios técnicos e prova de interpelação.</w:t>
      </w:r>
    </w:p>
    <w:p w14:paraId="6394E9CF">
      <w:pPr>
        <w:spacing w:after="200" w:line="360" w:lineRule="auto"/>
        <w:jc w:val="both"/>
      </w:pPr>
      <w:r>
        <w:rPr>
          <w:b/>
          <w:bCs/>
          <w:sz w:val="24"/>
          <w:szCs w:val="24"/>
        </w:rPr>
        <w:t>31.º</w:t>
      </w:r>
    </w:p>
    <w:p w14:paraId="054A4531">
      <w:pPr>
        <w:spacing w:after="300" w:line="360" w:lineRule="auto"/>
        <w:jc w:val="both"/>
      </w:pPr>
      <w:r>
        <w:rPr>
          <w:sz w:val="24"/>
          <w:szCs w:val="24"/>
        </w:rPr>
        <w:t>Requer-se que a Requerente seja advertida de que, nos termos do artigo 417.º, n.º 2, do Código de Processo Civil, a não apresentação dos documentos essenciais sem justificação legítima permitirá ao Tribunal considerar não demonstrados os factos que através deles se pretendia provar.</w:t>
      </w:r>
    </w:p>
    <w:p w14:paraId="0671281A">
      <w:pPr>
        <w:spacing w:after="200" w:line="360" w:lineRule="auto"/>
        <w:jc w:val="both"/>
      </w:pPr>
      <w:r>
        <w:rPr>
          <w:b/>
          <w:bCs/>
          <w:sz w:val="24"/>
          <w:szCs w:val="24"/>
        </w:rPr>
        <w:t>32.º</w:t>
      </w:r>
    </w:p>
    <w:p w14:paraId="4FEF36CD">
      <w:pPr>
        <w:spacing w:after="300" w:line="360" w:lineRule="auto"/>
        <w:jc w:val="both"/>
      </w:pPr>
      <w:r>
        <w:rPr>
          <w:sz w:val="24"/>
          <w:szCs w:val="24"/>
        </w:rPr>
        <w:t>Requer-se subsidiariamente que sejam oficiadas a Autoridade Tributária, a Câmara Municipal de Lisboa, a E-Redes, a EPAL, a PSP e o Regimento de Bombeiros competente, para prestação de informações objectivas sobre os factos em discussão.</w:t>
      </w:r>
    </w:p>
    <w:p w14:paraId="4517FB33">
      <w:pPr>
        <w:spacing w:after="200" w:line="360" w:lineRule="auto"/>
        <w:jc w:val="both"/>
      </w:pPr>
      <w:r>
        <w:rPr>
          <w:b/>
          <w:bCs/>
          <w:sz w:val="24"/>
          <w:szCs w:val="24"/>
        </w:rPr>
        <w:t>33.º</w:t>
      </w:r>
    </w:p>
    <w:p w14:paraId="73E02393">
      <w:pPr>
        <w:spacing w:after="300" w:line="360" w:lineRule="auto"/>
        <w:jc w:val="both"/>
      </w:pPr>
      <w:r>
        <w:rPr>
          <w:sz w:val="24"/>
          <w:szCs w:val="24"/>
        </w:rPr>
        <w:t xml:space="preserve">A partir dos elementos constantes dos autos, a conclusão não é apenas provável; é a única compatível com o regime legal aplicável. Não se verifica </w:t>
      </w:r>
      <w:r>
        <w:rPr>
          <w:i/>
          <w:iCs/>
          <w:sz w:val="24"/>
          <w:szCs w:val="24"/>
        </w:rPr>
        <w:t>fumus boni iuris</w:t>
      </w:r>
      <w:r>
        <w:rPr>
          <w:sz w:val="24"/>
          <w:szCs w:val="24"/>
        </w:rPr>
        <w:t xml:space="preserve"> — a prova produzida pela Requerente é incompatível com a tese apresentada. Não se verifica </w:t>
      </w:r>
      <w:r>
        <w:rPr>
          <w:i/>
          <w:iCs/>
          <w:sz w:val="24"/>
          <w:szCs w:val="24"/>
        </w:rPr>
        <w:t>periculum in mora</w:t>
      </w:r>
      <w:r>
        <w:rPr>
          <w:sz w:val="24"/>
          <w:szCs w:val="24"/>
        </w:rPr>
        <w:t xml:space="preserve"> — a inércia de oito anos exclui qualquer urgência. Não se verifica proporcionalidade — o direito de retenção impede a restituição.</w:t>
      </w:r>
    </w:p>
    <w:p w14:paraId="69CB0A3C">
      <w:pPr>
        <w:spacing w:after="200" w:line="360" w:lineRule="auto"/>
        <w:jc w:val="both"/>
      </w:pPr>
      <w:r>
        <w:rPr>
          <w:b/>
          <w:bCs/>
          <w:sz w:val="24"/>
          <w:szCs w:val="24"/>
        </w:rPr>
        <w:t>34.º</w:t>
      </w:r>
    </w:p>
    <w:p w14:paraId="6FC360AC">
      <w:pPr>
        <w:spacing w:after="300" w:line="360" w:lineRule="auto"/>
        <w:jc w:val="both"/>
      </w:pPr>
      <w:r>
        <w:rPr>
          <w:sz w:val="24"/>
          <w:szCs w:val="24"/>
        </w:rPr>
        <w:t>Nos termos do artigo 590.º, n.º 1, do Código de Processo Civil, impõe-se o indeferimento da providência por manifesta insuficiência factual e probatória. À luz dos elementos disponíveis, a concessão da providência não encontra suporte legal.</w:t>
      </w:r>
    </w:p>
    <w:p w14:paraId="09F25FD8">
      <w:pPr>
        <w:spacing w:after="200" w:line="360" w:lineRule="auto"/>
        <w:jc w:val="both"/>
      </w:pPr>
      <w:r>
        <w:rPr>
          <w:b/>
          <w:bCs/>
          <w:sz w:val="24"/>
          <w:szCs w:val="24"/>
        </w:rPr>
        <w:t>35.º</w:t>
      </w:r>
    </w:p>
    <w:p w14:paraId="37DE4169">
      <w:pPr>
        <w:spacing w:after="300" w:line="360" w:lineRule="auto"/>
        <w:jc w:val="both"/>
      </w:pPr>
      <w:r>
        <w:rPr>
          <w:sz w:val="24"/>
          <w:szCs w:val="24"/>
        </w:rPr>
        <w:t>A solução juridicamente adequada, face à factualidade disponível, é manter a situação tal como se encontra até apreciação integral em sede própria. Perante este conjunto de elementos, o indeferimento do pedido resulta da inexistência dos pressupostos legais que permitam a alteração da situação de facto existente.</w:t>
      </w:r>
    </w:p>
    <w:p w14:paraId="539A3EFE">
      <w:pPr>
        <w:spacing w:after="200"/>
      </w:pPr>
    </w:p>
    <w:p w14:paraId="1FEC068D">
      <w:pPr>
        <w:spacing w:after="300" w:line="360" w:lineRule="auto"/>
        <w:jc w:val="both"/>
      </w:pPr>
      <w:r>
        <w:rPr>
          <w:sz w:val="24"/>
          <w:szCs w:val="24"/>
        </w:rPr>
        <w:t>Termos em que se requer a V. Ex.ª:</w:t>
      </w:r>
    </w:p>
    <w:p w14:paraId="20A3FFEA">
      <w:pPr>
        <w:spacing w:after="200" w:line="360" w:lineRule="auto"/>
        <w:jc w:val="both"/>
      </w:pPr>
      <w:r>
        <w:rPr>
          <w:b/>
          <w:bCs/>
          <w:sz w:val="24"/>
          <w:szCs w:val="24"/>
        </w:rPr>
        <w:t>Pedidos principais:</w:t>
      </w:r>
    </w:p>
    <w:p w14:paraId="5852DF27">
      <w:pPr>
        <w:spacing w:after="100" w:line="360" w:lineRule="auto"/>
        <w:ind w:left="720"/>
      </w:pPr>
      <w:r>
        <w:rPr>
          <w:sz w:val="24"/>
          <w:szCs w:val="24"/>
        </w:rPr>
        <w:t>a) A nomeação urgente de patrono e concessão de prazo para preparação da defesa;</w:t>
      </w:r>
    </w:p>
    <w:p w14:paraId="539CE73F">
      <w:pPr>
        <w:spacing w:after="100" w:line="360" w:lineRule="auto"/>
        <w:ind w:left="720"/>
      </w:pPr>
      <w:r>
        <w:rPr>
          <w:sz w:val="24"/>
          <w:szCs w:val="24"/>
        </w:rPr>
        <w:t>b) As notificações sejam também remetidas para nunomiguelsilvaduarte@gmail.com;</w:t>
      </w:r>
    </w:p>
    <w:p w14:paraId="46FB869A">
      <w:pPr>
        <w:spacing w:after="100" w:line="360" w:lineRule="auto"/>
        <w:ind w:left="720"/>
      </w:pPr>
      <w:r>
        <w:rPr>
          <w:sz w:val="24"/>
          <w:szCs w:val="24"/>
        </w:rPr>
        <w:t>c) O indeferimento da providência cautelar por ausência dos pressupostos legais;</w:t>
      </w:r>
    </w:p>
    <w:p w14:paraId="04672C1C">
      <w:pPr>
        <w:spacing w:after="100" w:line="360" w:lineRule="auto"/>
        <w:ind w:left="720"/>
      </w:pPr>
      <w:r>
        <w:rPr>
          <w:sz w:val="24"/>
          <w:szCs w:val="24"/>
        </w:rPr>
        <w:t>d) O reconhecimento da posse pública, pacífica, contínua e de boa-fé;</w:t>
      </w:r>
    </w:p>
    <w:p w14:paraId="66AE32D5">
      <w:pPr>
        <w:spacing w:after="300" w:line="360" w:lineRule="auto"/>
        <w:ind w:left="720"/>
      </w:pPr>
      <w:r>
        <w:rPr>
          <w:sz w:val="24"/>
          <w:szCs w:val="24"/>
        </w:rPr>
        <w:t>e) O reconhecimento do direito de retenção nos termos dos artigos 754.º e 756.º do Código Civil.</w:t>
      </w:r>
    </w:p>
    <w:p w14:paraId="12DC3744">
      <w:pPr>
        <w:spacing w:after="200" w:line="360" w:lineRule="auto"/>
        <w:jc w:val="both"/>
        <w:rPr>
          <w:b/>
          <w:bCs/>
          <w:sz w:val="24"/>
          <w:szCs w:val="24"/>
        </w:rPr>
      </w:pPr>
    </w:p>
    <w:p w14:paraId="4EE116F0">
      <w:pPr>
        <w:spacing w:after="200" w:line="360" w:lineRule="auto"/>
        <w:jc w:val="both"/>
        <w:rPr>
          <w:b/>
          <w:bCs/>
          <w:sz w:val="24"/>
          <w:szCs w:val="24"/>
        </w:rPr>
      </w:pPr>
    </w:p>
    <w:p w14:paraId="368CE0A5">
      <w:pPr>
        <w:spacing w:after="200" w:line="360" w:lineRule="auto"/>
        <w:jc w:val="both"/>
      </w:pPr>
      <w:r>
        <w:rPr>
          <w:b/>
          <w:bCs/>
          <w:sz w:val="24"/>
          <w:szCs w:val="24"/>
        </w:rPr>
        <w:t>Pedidos subsidiários:</w:t>
      </w:r>
    </w:p>
    <w:p w14:paraId="159330BC">
      <w:pPr>
        <w:spacing w:after="100" w:line="360" w:lineRule="auto"/>
        <w:ind w:left="720"/>
      </w:pPr>
      <w:r>
        <w:rPr>
          <w:sz w:val="24"/>
          <w:szCs w:val="24"/>
        </w:rPr>
        <w:t>f) A notificação da Requerente para junção dos documentos indicados, com advertência legal;</w:t>
      </w:r>
    </w:p>
    <w:p w14:paraId="5F6E780B">
      <w:pPr>
        <w:spacing w:after="100" w:line="360" w:lineRule="auto"/>
        <w:ind w:left="720"/>
      </w:pPr>
      <w:r>
        <w:rPr>
          <w:sz w:val="24"/>
          <w:szCs w:val="24"/>
        </w:rPr>
        <w:t>g) A emissão de ofícios às entidades referidas;</w:t>
      </w:r>
    </w:p>
    <w:p w14:paraId="36ADF6FD">
      <w:pPr>
        <w:spacing w:after="100" w:line="360" w:lineRule="auto"/>
        <w:ind w:left="720"/>
      </w:pPr>
      <w:r>
        <w:rPr>
          <w:sz w:val="24"/>
          <w:szCs w:val="24"/>
        </w:rPr>
        <w:t>h) A admissão de prova documental pelo Requerido (art. 588.º CPC);</w:t>
      </w:r>
    </w:p>
    <w:p w14:paraId="142C3D47">
      <w:pPr>
        <w:spacing w:after="100" w:line="360" w:lineRule="auto"/>
        <w:ind w:left="720"/>
      </w:pPr>
      <w:r>
        <w:rPr>
          <w:rFonts w:hint="default"/>
          <w:sz w:val="24"/>
          <w:szCs w:val="24"/>
          <w:lang w:val="en-US"/>
        </w:rPr>
        <w:t>i</w:t>
      </w:r>
      <w:r>
        <w:rPr>
          <w:sz w:val="24"/>
          <w:szCs w:val="24"/>
        </w:rPr>
        <w:t xml:space="preserve">) A manutenção do </w:t>
      </w:r>
      <w:r>
        <w:rPr>
          <w:i/>
          <w:iCs/>
          <w:sz w:val="24"/>
          <w:szCs w:val="24"/>
        </w:rPr>
        <w:t>status quo</w:t>
      </w:r>
      <w:r>
        <w:rPr>
          <w:sz w:val="24"/>
          <w:szCs w:val="24"/>
        </w:rPr>
        <w:t xml:space="preserve"> com proibição de perturbações;</w:t>
      </w:r>
    </w:p>
    <w:p w14:paraId="1ACE6ED2">
      <w:pPr>
        <w:spacing w:after="100" w:line="360" w:lineRule="auto"/>
        <w:ind w:left="720"/>
      </w:pPr>
      <w:r>
        <w:rPr>
          <w:rFonts w:hint="default"/>
          <w:sz w:val="24"/>
          <w:szCs w:val="24"/>
          <w:lang w:val="en-US"/>
        </w:rPr>
        <w:t>j</w:t>
      </w:r>
      <w:r>
        <w:rPr>
          <w:sz w:val="24"/>
          <w:szCs w:val="24"/>
        </w:rPr>
        <w:t>) A subordinação de qualquer medida à prestação de caução adequada;</w:t>
      </w:r>
    </w:p>
    <w:p w14:paraId="2397A120">
      <w:pPr>
        <w:spacing w:after="300" w:line="360" w:lineRule="auto"/>
        <w:ind w:left="720"/>
      </w:pPr>
      <w:r>
        <w:rPr>
          <w:rFonts w:hint="default"/>
          <w:sz w:val="24"/>
          <w:szCs w:val="24"/>
          <w:lang w:val="en-US"/>
        </w:rPr>
        <w:t>k</w:t>
      </w:r>
      <w:bookmarkStart w:id="0" w:name="_GoBack"/>
      <w:bookmarkEnd w:id="0"/>
      <w:r>
        <w:rPr>
          <w:sz w:val="24"/>
          <w:szCs w:val="24"/>
        </w:rPr>
        <w:t>) A apreciação da conduta processual nos termos do artigo 542.º do CPC.</w:t>
      </w:r>
    </w:p>
    <w:p w14:paraId="2AA03C49">
      <w:pPr>
        <w:spacing w:after="200"/>
      </w:pPr>
    </w:p>
    <w:p w14:paraId="61687659">
      <w:pPr>
        <w:spacing w:after="300" w:line="360" w:lineRule="auto"/>
        <w:jc w:val="both"/>
      </w:pPr>
      <w:r>
        <w:rPr>
          <w:sz w:val="24"/>
          <w:szCs w:val="24"/>
        </w:rPr>
        <w:t>O Requerido coloca-se inteira e incondicionalmente à disposição do Tribunal para colaborar na descoberta da verdade material, comprometendo-se a apresentar toda a documentação em seu poder no prazo que V. Ex.ª fixar.</w:t>
      </w:r>
    </w:p>
    <w:p w14:paraId="7BAA63C5">
      <w:pPr>
        <w:spacing w:after="300"/>
      </w:pPr>
    </w:p>
    <w:p w14:paraId="1007D7F4">
      <w:pPr>
        <w:spacing w:after="300"/>
        <w:jc w:val="center"/>
      </w:pPr>
      <w:r>
        <w:rPr>
          <w:sz w:val="24"/>
          <w:szCs w:val="24"/>
        </w:rPr>
        <w:t>Pede deferimento</w:t>
      </w:r>
    </w:p>
    <w:p w14:paraId="695F036F">
      <w:pPr>
        <w:spacing w:after="300"/>
        <w:jc w:val="center"/>
      </w:pPr>
      <w:r>
        <w:rPr>
          <w:sz w:val="24"/>
          <w:szCs w:val="24"/>
        </w:rPr>
        <w:t>Lisboa, 14 de Dezembro de 2025</w:t>
      </w:r>
    </w:p>
    <w:p w14:paraId="3C44A129">
      <w:pPr>
        <w:spacing w:after="200"/>
      </w:pPr>
    </w:p>
    <w:p w14:paraId="287524C9">
      <w:pPr>
        <w:spacing w:after="100"/>
        <w:jc w:val="center"/>
      </w:pPr>
      <w:r>
        <w:rPr>
          <w:sz w:val="24"/>
          <w:szCs w:val="24"/>
        </w:rPr>
        <w:t>O Requerido,</w:t>
      </w:r>
    </w:p>
    <w:p w14:paraId="2397846E">
      <w:pPr>
        <w:spacing w:after="100"/>
        <w:jc w:val="center"/>
      </w:pPr>
      <w:r>
        <w:rPr>
          <w:sz w:val="24"/>
          <w:szCs w:val="24"/>
        </w:rPr>
        <w:t>__________________________________________________</w:t>
      </w:r>
    </w:p>
    <w:p w14:paraId="5188A47C">
      <w:pPr>
        <w:spacing w:after="50"/>
        <w:jc w:val="center"/>
      </w:pPr>
      <w:r>
        <w:rPr>
          <w:b/>
          <w:bCs/>
          <w:sz w:val="24"/>
          <w:szCs w:val="24"/>
        </w:rPr>
        <w:t>NUNO MIGUEL SILVA DUARTE</w:t>
      </w:r>
    </w:p>
    <w:p w14:paraId="131FAAE8">
      <w:pPr>
        <w:spacing w:after="50"/>
        <w:jc w:val="center"/>
      </w:pPr>
      <w:r>
        <w:rPr>
          <w:sz w:val="22"/>
          <w:szCs w:val="22"/>
        </w:rPr>
        <w:t>NIF: 254 048 382</w:t>
      </w:r>
    </w:p>
    <w:p w14:paraId="5A6B6E7C">
      <w:pPr>
        <w:jc w:val="center"/>
      </w:pPr>
      <w:r>
        <w:rPr>
          <w:sz w:val="22"/>
          <w:szCs w:val="22"/>
        </w:rPr>
        <w:t>Email: nunomiguelsilvaduarte@gmail.com</w:t>
      </w:r>
    </w:p>
    <w:sectPr>
      <w:headerReference r:id="rId3" w:type="default"/>
      <w:footerReference r:id="rId4" w:type="default"/>
      <w:pgSz w:w="11906" w:h="16838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0710D68">
    <w:pPr>
      <w:jc w:val="center"/>
    </w:pPr>
    <w:r>
      <w:rPr>
        <w:sz w:val="20"/>
        <w:szCs w:val="20"/>
      </w:rPr>
      <w:t xml:space="preserve">— Página </w:t>
    </w:r>
    <w:r>
      <w:rPr>
        <w:sz w:val="20"/>
        <w:szCs w:val="20"/>
      </w:rPr>
      <w:fldChar w:fldCharType="begin"/>
    </w:r>
    <w:r>
      <w:rPr>
        <w:sz w:val="20"/>
        <w:szCs w:val="20"/>
      </w:rPr>
      <w:instrText xml:space="preserve">PAGE</w:instrText>
    </w:r>
    <w:r>
      <w:rPr>
        <w:sz w:val="20"/>
        <w:szCs w:val="20"/>
      </w:rPr>
      <w:fldChar w:fldCharType="separate"/>
    </w:r>
    <w:r>
      <w:rPr>
        <w:sz w:val="20"/>
        <w:szCs w:val="20"/>
      </w:rPr>
      <w:fldChar w:fldCharType="end"/>
    </w:r>
    <w:r>
      <w:rPr>
        <w:sz w:val="20"/>
        <w:szCs w:val="20"/>
      </w:rPr>
      <w:t xml:space="preserve"> de </w:t>
    </w:r>
    <w:r>
      <w:rPr>
        <w:sz w:val="20"/>
        <w:szCs w:val="20"/>
      </w:rPr>
      <w:fldChar w:fldCharType="begin"/>
    </w:r>
    <w:r>
      <w:rPr>
        <w:sz w:val="20"/>
        <w:szCs w:val="20"/>
      </w:rPr>
      <w:instrText xml:space="preserve">NUMPAGES</w:instrText>
    </w:r>
    <w:r>
      <w:rPr>
        <w:sz w:val="20"/>
        <w:szCs w:val="20"/>
      </w:rPr>
      <w:fldChar w:fldCharType="separate"/>
    </w:r>
    <w:r>
      <w:rPr>
        <w:sz w:val="20"/>
        <w:szCs w:val="20"/>
      </w:rPr>
      <w:fldChar w:fldCharType="end"/>
    </w:r>
    <w:r>
      <w:rPr>
        <w:sz w:val="20"/>
        <w:szCs w:val="20"/>
      </w:rPr>
      <w:t xml:space="preserve"> —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37888A1">
    <w:pPr>
      <w:jc w:val="right"/>
    </w:pPr>
    <w:r>
      <w:rPr>
        <w:color w:val="666666"/>
        <w:sz w:val="20"/>
        <w:szCs w:val="20"/>
      </w:rPr>
      <w:t>Proc. n.º 3719/25.0T8LSB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isplayBackgroundShape w:val="1"/>
  <w:documentProtection w:enforcement="0"/>
  <w:compat>
    <w:compatSetting w:name="compatibilityMode" w:uri="http://schemas.microsoft.com/office/word" w:val="15"/>
  </w:compat>
  <w:rsids>
    <w:rsidRoot w:val="00000000"/>
    <w:rsid w:val="218C06F8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Times New Roma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Times New Roman" w:hAnsi="Times New Roman" w:eastAsia="Times New Roman" w:cs="Times New Roman"/>
      <w:sz w:val="24"/>
      <w:szCs w:val="24"/>
    </w:rPr>
  </w:style>
  <w:style w:type="paragraph" w:styleId="2">
    <w:name w:val="heading 1"/>
    <w:next w:val="1"/>
    <w:qFormat/>
    <w:uiPriority w:val="0"/>
    <w:rPr>
      <w:rFonts w:ascii="Times New Roman" w:hAnsi="Times New Roman" w:eastAsia="Times New Roman" w:cs="Times New Roman"/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rFonts w:ascii="Times New Roman" w:hAnsi="Times New Roman" w:eastAsia="Times New Roman" w:cs="Times New Roman"/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rFonts w:ascii="Times New Roman" w:hAnsi="Times New Roman" w:eastAsia="Times New Roman" w:cs="Times New Roman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Times New Roman" w:hAnsi="Times New Roman" w:eastAsia="Times New Roman" w:cs="Times New Roman"/>
      <w:i/>
      <w:iCs/>
      <w:color w:val="2E74B5"/>
      <w:sz w:val="24"/>
      <w:szCs w:val="24"/>
    </w:rPr>
  </w:style>
  <w:style w:type="paragraph" w:styleId="6">
    <w:name w:val="heading 5"/>
    <w:next w:val="1"/>
    <w:qFormat/>
    <w:uiPriority w:val="0"/>
    <w:rPr>
      <w:rFonts w:ascii="Times New Roman" w:hAnsi="Times New Roman" w:eastAsia="Times New Roman" w:cs="Times New Roman"/>
      <w:color w:val="2E74B5"/>
      <w:sz w:val="24"/>
      <w:szCs w:val="24"/>
    </w:rPr>
  </w:style>
  <w:style w:type="paragraph" w:styleId="7">
    <w:name w:val="heading 6"/>
    <w:next w:val="1"/>
    <w:qFormat/>
    <w:uiPriority w:val="0"/>
    <w:rPr>
      <w:rFonts w:ascii="Times New Roman" w:hAnsi="Times New Roman" w:eastAsia="Times New Roman" w:cs="Times New Roman"/>
      <w:color w:val="1F4D78"/>
      <w:sz w:val="24"/>
      <w:szCs w:val="24"/>
    </w:rPr>
  </w:style>
  <w:style w:type="character" w:default="1" w:styleId="8">
    <w:name w:val="Default Paragraph Font"/>
    <w:semiHidden/>
    <w:uiPriority w:val="0"/>
  </w:style>
  <w:style w:type="table" w:default="1" w:styleId="9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footnote reference"/>
    <w:semiHidden/>
    <w:unhideWhenUsed/>
    <w:uiPriority w:val="99"/>
    <w:rPr>
      <w:vertAlign w:val="superscript"/>
    </w:rPr>
  </w:style>
  <w:style w:type="paragraph" w:styleId="11">
    <w:name w:val="footnote text"/>
    <w:link w:val="15"/>
    <w:semiHidden/>
    <w:unhideWhenUsed/>
    <w:uiPriority w:val="99"/>
    <w:pPr>
      <w:spacing w:after="0" w:line="240" w:lineRule="auto"/>
    </w:pPr>
    <w:rPr>
      <w:rFonts w:ascii="Times New Roman" w:hAnsi="Times New Roman" w:eastAsia="Times New Roman" w:cs="Times New Roman"/>
      <w:sz w:val="20"/>
      <w:szCs w:val="20"/>
    </w:rPr>
  </w:style>
  <w:style w:type="character" w:styleId="12">
    <w:name w:val="Hyperlink"/>
    <w:unhideWhenUsed/>
    <w:uiPriority w:val="99"/>
    <w:rPr>
      <w:color w:val="0563C1"/>
      <w:u w:val="single"/>
    </w:rPr>
  </w:style>
  <w:style w:type="paragraph" w:styleId="13">
    <w:name w:val="Title"/>
    <w:qFormat/>
    <w:uiPriority w:val="0"/>
    <w:rPr>
      <w:rFonts w:ascii="Times New Roman" w:hAnsi="Times New Roman" w:eastAsia="Times New Roman" w:cs="Times New Roman"/>
      <w:sz w:val="56"/>
      <w:szCs w:val="56"/>
    </w:rPr>
  </w:style>
  <w:style w:type="paragraph" w:styleId="14">
    <w:name w:val="List Paragraph"/>
    <w:qFormat/>
    <w:uiPriority w:val="0"/>
    <w:rPr>
      <w:rFonts w:ascii="Times New Roman" w:hAnsi="Times New Roman" w:eastAsia="Times New Roman" w:cs="Times New Roman"/>
      <w:sz w:val="24"/>
      <w:szCs w:val="24"/>
    </w:rPr>
  </w:style>
  <w:style w:type="character" w:customStyle="1" w:styleId="15">
    <w:name w:val="Footnote Text Char"/>
    <w:link w:val="11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8</Pages>
  <TotalTime>13</TotalTime>
  <ScaleCrop>false</ScaleCrop>
  <LinksUpToDate>false</LinksUpToDate>
  <Application>WPS Office_12.2.0.23155_F1E327BC-269C-435d-A152-05C5408002CA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2025-12-14T18:51:00Z</dcterms:created>
  <dc:creator>Un-named</dc:creator>
  <cp:lastModifiedBy>Nuno Miguel Silva Duarte</cp:lastModifiedBy>
  <cp:lastPrinted>2025-12-14T19:05:26Z</cp:lastPrinted>
  <dcterms:modified xsi:type="dcterms:W3CDTF">2025-12-14T19:09:10Z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3DE96FC4AFAA4F748D84CA12BFE453F9_13</vt:lpwstr>
  </property>
</Properties>
</file>