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word/charts/chart2.xml" ContentType="application/vnd.openxmlformats-officedocument.drawingml.chart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An inline clustered column chart with a title, two series, data labels, gridlines and a bottom legend:</w:t>
      </w:r>
    </w:p>
    <w:p>
      <w:r>
        <w:drawing>
          <wp:inline distT="0" distB="0" distL="0" distR="0">
            <wp:extent cx="5486400" cy="301752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1"/>
              </a:graphicData>
            </a:graphic>
          </wp:inline>
        </w:drawing>
      </w:r>
    </w:p>
    <w:p>
      <w:r>
        <w:t>An inline line chart with a title and a right legend:</w:t>
      </w:r>
    </w:p>
    <w:p>
      <w:r>
        <w:drawing>
          <wp:inline distT="0" distB="0" distL="0" distR="0">
            <wp:extent cx="5486400" cy="301752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Chart1" Type="http://schemas.openxmlformats.org/officeDocument/2006/relationships/chart" Target="charts/chart1.xml"/><Relationship Id="rIdChart2" Type="http://schemas.openxmlformats.org/officeDocument/2006/relationships/chart" Target="charts/chart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lstStyle/>
          <a:p>
            <a:pPr>
              <a:defRPr sz="1400" b="1">
                <a:solidFill>
                  <a:srgbClr val="404040"/>
                </a:solidFill>
                <a:latin typeface="Calibri"/>
              </a:defRPr>
            </a:pPr>
            <a:r>
              <a:rPr lang="en-US" sz="1400" b="1">
                <a:solidFill>
                  <a:srgbClr val="404040"/>
                </a:solidFill>
                <a:latin typeface="Calibri"/>
              </a:rPr>
              <a:t>Quarterly Sales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4472C4"/>
            </a:solidFill>
          </c:spPr>
          <c:invertIfNegative val="0"/>
          <c:dLbls>
            <c:txPr>
              <a:bodyPr/>
              <a:lstStyle/>
              <a:p>
                <a:pPr>
                  <a:defRPr sz="900" b="0">
                    <a:solidFill>
                      <a:srgbClr val="404040"/>
                    </a:solidFill>
                    <a:latin typeface="Calibri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42</c:v>
                </c:pt>
                <c:pt idx="1">
                  <c:v>55</c:v>
                </c:pt>
                <c:pt idx="2">
                  <c:v>61</c:v>
                </c:pt>
                <c:pt idx="3">
                  <c:v>48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dLbls>
            <c:txPr>
              <a:bodyPr/>
              <a:lstStyle/>
              <a:p>
                <a:pPr>
                  <a:defRPr sz="900" b="0">
                    <a:solidFill>
                      <a:srgbClr val="404040"/>
                    </a:solidFill>
                    <a:latin typeface="Calibri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30</c:v>
                </c:pt>
                <c:pt idx="1">
                  <c:v>38</c:v>
                </c:pt>
                <c:pt idx="2">
                  <c:v>52</c:v>
                </c:pt>
                <c:pt idx="3">
                  <c:v>64</c:v>
                </c:pt>
              </c:numCache>
            </c:numRef>
          </c:val>
        </c:ser>
        <c:gapWidth val="150"/>
        <c:overlap val="-20"/>
        <c:axId val="101"/>
        <c:axId val="102"/>
      </c:barChart>
      <c:catAx>
        <c:axId val="1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525">
            <a:solidFill>
              <a:srgbClr val="BFBFBF"/>
            </a:solidFill>
          </a:ln>
        </c:spPr>
        <c:txPr>
          <a:bodyPr/>
          <a:lstStyle/>
          <a:p>
            <a:pPr>
              <a:defRPr sz="900" b="0">
                <a:solidFill>
                  <a:srgbClr val="404040"/>
                </a:solidFill>
                <a:latin typeface="Calibri"/>
              </a:defRPr>
            </a:pPr>
            <a:endParaRPr lang="en-US"/>
          </a:p>
        </c:txPr>
        <c:crossAx val="102"/>
        <c:crosses val="autoZero"/>
        <c:auto val="1"/>
        <c:lblAlgn val="ctr"/>
        <c:lblOffset val="100"/>
        <c:noMultiLvlLbl val="0"/>
      </c:catAx>
      <c:valAx>
        <c:axId val="1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 b="0">
                <a:solidFill>
                  <a:srgbClr val="404040"/>
                </a:solidFill>
                <a:latin typeface="Calibri"/>
              </a:defRPr>
            </a:pPr>
            <a:endParaRPr lang="en-US"/>
          </a:p>
        </c:txPr>
        <c:crossAx val="101"/>
        <c:crosses val="autoZero"/>
        <c:crossBetween val="between"/>
      </c:valAx>
    </c:plotArea>
    <c:legend>
      <c:legendPos val="b"/>
      <c:overlay val="0"/>
      <c:txPr>
        <a:bodyPr/>
        <a:lstStyle/>
        <a:p>
          <a:pPr>
            <a:defRPr sz="1000" b="0">
              <a:solidFill>
                <a:srgbClr val="404040"/>
              </a:solidFill>
              <a:latin typeface="Calibri"/>
            </a:defRPr>
          </a:pPr>
          <a:endParaRPr lang="en-US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1000" b="0">
          <a:solidFill>
            <a:srgbClr val="404040"/>
          </a:solidFill>
          <a:latin typeface="Calibri"/>
        </a:defRPr>
      </a:pPr>
      <a:endParaRPr lang="en-US"/>
    </a:p>
  </c:tx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title>
      <c:tx>
        <c:rich>
          <a:bodyPr/>
          <a:lstStyle/>
          <a:p>
            <a:pPr>
              <a:defRPr sz="1400" b="1">
                <a:solidFill>
                  <a:srgbClr val="404040"/>
                </a:solidFill>
                <a:latin typeface="Calibri"/>
              </a:defRPr>
            </a:pPr>
            <a:r>
              <a:rPr lang="en-US" sz="1400" b="1">
                <a:solidFill>
                  <a:srgbClr val="404040"/>
                </a:solidFill>
                <a:latin typeface="Calibri"/>
              </a:rPr>
              <a:t>Web Traffic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Visitors</c:v>
                </c:pt>
              </c:strCache>
            </c:strRef>
          </c:tx>
          <c:spPr>
            <a:ln w="38100" cap="rnd">
              <a:solidFill>
                <a:srgbClr val="4472C4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120</c:v>
                </c:pt>
                <c:pt idx="1">
                  <c:v>180</c:v>
                </c:pt>
                <c:pt idx="2">
                  <c:v>150</c:v>
                </c:pt>
                <c:pt idx="3">
                  <c:v>210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Orders</c:v>
                </c:pt>
              </c:strCache>
            </c:strRef>
          </c:tx>
          <c:spPr>
            <a:ln w="38100" cap="rnd">
              <a:solidFill>
                <a:srgbClr val="70AD47"/>
              </a:solidFill>
              <a:round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40</c:v>
                </c:pt>
                <c:pt idx="1">
                  <c:v>65</c:v>
                </c:pt>
                <c:pt idx="2">
                  <c:v>90</c:v>
                </c:pt>
                <c:pt idx="3">
                  <c:v>85</c:v>
                </c:pt>
              </c:numCache>
            </c:numRef>
          </c:val>
          <c:smooth val="0"/>
        </c:ser>
        <c:marker val="1"/>
        <c:axId val="101"/>
        <c:axId val="102"/>
      </c:lineChart>
      <c:catAx>
        <c:axId val="1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525">
            <a:solidFill>
              <a:srgbClr val="BFBFBF"/>
            </a:solidFill>
          </a:ln>
        </c:spPr>
        <c:txPr>
          <a:bodyPr/>
          <a:lstStyle/>
          <a:p>
            <a:pPr>
              <a:defRPr sz="900" b="0">
                <a:solidFill>
                  <a:srgbClr val="404040"/>
                </a:solidFill>
                <a:latin typeface="Calibri"/>
              </a:defRPr>
            </a:pPr>
            <a:endParaRPr lang="en-US"/>
          </a:p>
        </c:txPr>
        <c:crossAx val="102"/>
        <c:crosses val="autoZero"/>
        <c:auto val="1"/>
        <c:lblAlgn val="ctr"/>
        <c:lblOffset val="100"/>
        <c:noMultiLvlLbl val="0"/>
      </c:catAx>
      <c:valAx>
        <c:axId val="1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 b="0">
                <a:solidFill>
                  <a:srgbClr val="404040"/>
                </a:solidFill>
                <a:latin typeface="Calibri"/>
              </a:defRPr>
            </a:pPr>
            <a:endParaRPr lang="en-US"/>
          </a:p>
        </c:txPr>
        <c:crossAx val="101"/>
        <c:crosses val="autoZero"/>
        <c:crossBetween val="between"/>
      </c:valAx>
    </c:plotArea>
    <c:legend>
      <c:legendPos val="r"/>
      <c:overlay val="0"/>
      <c:txPr>
        <a:bodyPr/>
        <a:lstStyle/>
        <a:p>
          <a:pPr>
            <a:defRPr sz="1000" b="0">
              <a:solidFill>
                <a:srgbClr val="404040"/>
              </a:solidFill>
              <a:latin typeface="Calibri"/>
            </a:defRPr>
          </a:pPr>
          <a:endParaRPr lang="en-US"/>
        </a:p>
      </c:txPr>
    </c:legend>
    <c:plotVisOnly val="1"/>
    <c:dispBlanksAs val="gap"/>
  </c:chart>
  <c:spPr>
    <a:noFill/>
    <a:ln>
      <a:noFill/>
    </a:ln>
  </c:spPr>
  <c:txPr>
    <a:bodyPr/>
    <a:lstStyle/>
    <a:p>
      <a:pPr>
        <a:defRPr sz="1000" b="0">
          <a:solidFill>
            <a:srgbClr val="404040"/>
          </a:solidFill>
          <a:latin typeface="Calibri"/>
        </a:defRPr>
      </a:pPr>
      <a:endParaRPr lang="en-US"/>
    </a:p>
  </c:txPr>
</c:chartSpace>
</file>