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332befa3e24e5b" /></Relationships>
</file>

<file path=word/document.xml><?xml version="1.0" encoding="utf-8"?>
<w:document xmlns:w="http://schemas.openxmlformats.org/wordprocessingml/2006/main">
  <w:body>
    <w:p>
      <w:r>
        <w:t>This paragraph allows automatic hyphenation. Long words like internationalization may be hyphenated.</w:t>
      </w:r>
    </w:p>
    <w:p>
      <w:pPr>
        <w:suppressAutoHyphens/>
      </w:pPr>
      <w:r>
        <w:t>This paragraph has hyphenation suppressed. Even long words like internationalization will not be hyphenated and will wrap to the next line instead.</w:t>
      </w:r>
    </w:p>
    <w:p>
      <w:r>
        <w:t>This paragraph allows hyphenation again. Telecommunications and electroencephalograph may break at syllables.</w:t>
      </w:r>
    </w:p>
    <w:sectPr>
      <w:pgSz w:w="86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autoHyphenation w:val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a16d3af09b04f39" /></Relationships>
</file>