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rFonts w:ascii="Calibri" w:hAnsi="Calibri"/>
          <w:sz w:val="24"/>
        </w:rPr>
        <w:t xml:space="preserve">The Pythagorean theorem: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r>
        <w:rPr>
          <w:rFonts w:ascii="Calibri" w:hAnsi="Calibri"/>
          <w:sz w:val="24"/>
        </w:rPr>
        <w:t xml:space="preserve">A simple fraction: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/>
          <w:sz w:val="24"/>
        </w:rPr>
        <w:t xml:space="preserve"> is one half.</w:t>
      </w:r>
    </w:p>
    <w:sectPr>
      <w:pgSz w:w="12240" w:h="15840" w:orient="portrait"/>
      <w:pgMar w:top="1440" w:right="1440" w:bottom="1440" w:left="1440"/>
    </w:sectPr>
  </w:body>
</w:document>
</file>