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14:pctPosHOffset>10000</wp14:pctPosHOffset>
                </wp:positionH>
                <wp:positionV relativeFrom="page">
                  <wp14:pctPosVOffset>10000</wp14:pctPosVOffset>
                </wp:positionV>
                <wp:extent cx="1270000" cy="1270000"/>
                <wp:effectExtent l="0" t="0" r="0" b="0"/>
                <wp:wrapNone/>
                <wp:docPr id="1" name="Bare-wp14 red square at 10%/10%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mc:AlternateContent>
                  <mc:Choice Requires="wp14">
                    <wp:positionH relativeFrom="page">
                      <wp14:pctPosHOffset>50000</wp14:pctPosHOffset>
                    </wp:positionH>
                  </mc:Choice>
                  <mc:Fallback>
                    <wp:positionH relativeFrom="page">
                      <wp:posOffset>3886200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50000</wp14:pctPosVOffset>
                    </wp:positionV>
                  </mc:Choice>
                  <mc:Fallback>
                    <wp:positionV relativeFrom="page">
                      <wp:posOffset>5029200</wp:posOffset>
                    </wp:positionV>
                  </mc:Fallback>
                </mc:AlternateContent>
                <wp:extent cx="1270000" cy="1270000"/>
                <wp:effectExtent l="0" t="0" r="0" b="0"/>
                <wp:wrapNone/>
                <wp:docPr id="2" name="AlternateContent-wrapped blue square centred at 50%/50%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  <w:r>
        <w:t>Percentage-positioned shapes: red at 10% / 10%, blue at 50% / 50%.</w:t>
      </w:r>
    </w:p>
    <w:sectPr>
      <w:pgSz w:w="12240" w:h="15840" w:orient="portrait"/>
      <w:pgMar w:top="1440" w:right="1440" w:bottom="1440" w:left="1440" w:header="720" w:footer="720" w:gutter="0"/>
    </w:sectPr>
  </w:body>
</w:document>
</file>