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A horizontal bar chart anchored to the page, 3 inches down and 1.5 inches in, with no text wrap.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2743200</wp:posOffset>
            </wp:positionV>
            <wp:extent cx="5029200" cy="3200400"/>
            <wp:effectExtent l="0" t="0" r="0" b="0"/>
            <wp:wrapNone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Chart1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pPr>
              <a:defRPr sz="1400" b="1">
                <a:solidFill>
                  <a:srgbClr val="404040"/>
                </a:solidFill>
                <a:latin typeface="Calibri"/>
              </a:defRPr>
            </a:pPr>
            <a:r>
              <a:rPr lang="en-US" sz="1400" b="1">
                <a:solidFill>
                  <a:srgbClr val="404040"/>
                </a:solidFill>
                <a:latin typeface="Calibri"/>
              </a:rPr>
              <a:t>Quarterly Sales by Region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4472C4"/>
            </a:solidFill>
          </c:spPr>
          <c:invertIfNegative val="0"/>
          <c:dLbls>
            <c:txPr>
              <a:bodyPr/>
              <a:lstStyle/>
              <a:p>
                <a:pPr>
                  <a:defRPr sz="900" b="0">
                    <a:solidFill>
                      <a:srgbClr val="404040"/>
                    </a:solidFill>
                    <a:latin typeface="Calibri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42</c:v>
                </c:pt>
                <c:pt idx="1">
                  <c:v>55</c:v>
                </c:pt>
                <c:pt idx="2">
                  <c:v>61</c:v>
                </c:pt>
                <c:pt idx="3">
                  <c:v>48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dLbls>
            <c:txPr>
              <a:bodyPr/>
              <a:lstStyle/>
              <a:p>
                <a:pPr>
                  <a:defRPr sz="900" b="0">
                    <a:solidFill>
                      <a:srgbClr val="404040"/>
                    </a:solidFill>
                    <a:latin typeface="Calibri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30</c:v>
                </c:pt>
                <c:pt idx="1">
                  <c:v>38</c:v>
                </c:pt>
                <c:pt idx="2">
                  <c:v>52</c:v>
                </c:pt>
                <c:pt idx="3">
                  <c:v>64</c:v>
                </c:pt>
              </c:numCache>
            </c:numRef>
          </c:val>
        </c:ser>
        <c:gapWidth val="150"/>
        <c:overlap val="-20"/>
        <c:axId val="101"/>
        <c:axId val="102"/>
      </c:barChart>
      <c:catAx>
        <c:axId val="1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ln w="9525">
            <a:solidFill>
              <a:srgbClr val="BFBFBF"/>
            </a:solidFill>
          </a:ln>
        </c:spPr>
        <c:txPr>
          <a:bodyPr/>
          <a:lstStyle/>
          <a:p>
            <a:pPr>
              <a:defRPr sz="900" b="0">
                <a:solidFill>
                  <a:srgbClr val="404040"/>
                </a:solidFill>
                <a:latin typeface="Calibri"/>
              </a:defRPr>
            </a:pPr>
            <a:endParaRPr lang="en-US"/>
          </a:p>
        </c:txPr>
        <c:crossAx val="102"/>
        <c:crosses val="autoZero"/>
        <c:auto val="1"/>
        <c:lblAlgn val="ctr"/>
        <c:lblOffset val="100"/>
        <c:noMultiLvlLbl val="0"/>
      </c:catAx>
      <c:valAx>
        <c:axId val="1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 b="0">
                <a:solidFill>
                  <a:srgbClr val="404040"/>
                </a:solidFill>
                <a:latin typeface="Calibri"/>
              </a:defRPr>
            </a:pPr>
            <a:endParaRPr lang="en-US"/>
          </a:p>
        </c:txPr>
        <c:crossAx val="10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1000" b="0">
              <a:solidFill>
                <a:srgbClr val="404040"/>
              </a:solidFill>
              <a:latin typeface="Calibri"/>
            </a:defRPr>
          </a:pPr>
          <a:endParaRPr lang="en-U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000" b="0">
          <a:solidFill>
            <a:srgbClr val="404040"/>
          </a:solidFill>
          <a:latin typeface="Calibri"/>
        </a:defRPr>
      </a:pPr>
      <a:endParaRPr lang="en-US"/>
    </a:p>
  </c:txPr>
</c:chartSpace>
</file>