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pPr>
              <w:jc w:val="right"/>
            </w:pPr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pPr>
              <w:jc w:val="right"/>
            </w:pPr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pPr>
              <w:jc w:val="right"/>
            </w:pPr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pPr>
              <w:jc w:val="right"/>
            </w:pPr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</w:t>
      </w:r>
    </w:p>
    <w:p>
      <w:pPr>
        <w:pStyle w:val="ListParagraph"/>
        <w:numPr>
          <w:ilvl w:val="1"/>
          <w:numId w:val="5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5"/>
        </w:numPr>
        <w:contextualSpacing/>
      </w:pPr>
      <w:r>
        <w:t xml:space="preserve">Predictive analytics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pPr>
        <w:spacing w:line="360" w:lineRule="auto"/>
        <w:ind w:left="720" w:right="720"/>
        <w:jc w:val="both"/>
      </w:pPr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</w:p>
    <w:p>
      <w:r>
        <w:t xml:space="preserve">Appendix A: Raw Data</w:t>
        <w:br/>
        <w:t xml:space="preserve">Q1: 12300000</w:t>
        <w:br/>
        <w:t xml:space="preserve">Q2: 14100000</w:t>
        <w:br/>
        <w:t xml:space="preserve">Q3: 13800000</w:t>
        <w:br/>
        <w:t xml:space="preserve">Q4: 16200000</w:t>
      </w:r>
    </w:p>
    <w:p>
      <w:pPr>
        <w:pageBreakBefore/>
        <w:spacing w:before="1440"/>
        <w:jc w:val="center"/>
      </w:pP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</w:t>
      </w:r>
    </w:p>
    <w:p>
      <w:pPr>
        <w:pStyle w:val="Heading2"/>
      </w:pPr>
      <w:bookmarkStart w:name="appendix" w:id="1"/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  <p2:lvlOverride p2:ilvl="0">
      <p2:startOverride p2:val="1"/>
    </p2:lvlOverride>
  </num>
  <num xmlns:p2="http://schemas.openxmlformats.org/wordprocessingml/2006/main" p2:numId="4">
    <p2:abstractNumId p2:val="0"/>
  </num>
  <num xmlns:p2="http://schemas.openxmlformats.org/wordprocessingml/2006/main" p2:numId="5">
    <p2:abstractNumId p2:val="1"/>
    <p2:lvlOverride p2:ilvl="1">
      <p2:startOverride p2:val="1"/>
    </p2:lvlOverride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