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footnotes.xml" ContentType="application/vnd.openxmlformats-officedocument.wordprocessingml.foot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To be or not to be, that is the question. </w:t>
      </w:r>
      <w:r>
        <w:rPr>
          <w:vertAlign w:val="superscript"/>
        </w:rPr>
        <w:footnoteReference w:id="1"/>
      </w:r>
    </w:p>
    <w:p>
      <w:r>
        <w:t xml:space="preserve">Normal paragraph after quote.</w:t>
      </w:r>
    </w:p>
    <w:sectPr>
      <w:pgSz w:w="11906" w:h="16838"/>
      <w:pgMar w:top="1440" w:right="1440" w:bottom="1440" w:left="1440" w:header="720" w:footer="720" w:gutter="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https://example.com/source</w:t>
      </w:r>
    </w:p>
  </w:footnote>
</w:footnote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DeterministicId1" /></Relationships>
</file>