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480"/>
        <w:jc w:val="center"/>
      </w:pPr>
      <w:r>
        <w:rPr>
          <w:b/>
        </w:rPr>
        <w:t xml:space="preserve">Annual Report 2024</w:t>
      </w:r>
    </w:p>
    <w:p>
      <w:pPr>
        <w:pStyle w:val="Heading2"/>
      </w:pPr>
      <w:r>
        <w:rPr>
          <w:b/>
        </w:rPr>
        <w:t xml:space="preserve">Executive Summary</w:t>
      </w:r>
    </w:p>
    <w:p>
      <w:pPr>
        <w:spacing w:after="240" w:line="360" w:lineRule="auto"/>
        <w:ind w:firstLine="720"/>
      </w:pPr>
      <w:r>
        <w:t xml:space="preserve"> This report covers the </w:t>
      </w:r>
      <w:r>
        <w:rPr>
          <w:b/>
        </w:rPr>
        <w:t xml:space="preserve">fiscal year 2024</w:t>
      </w:r>
      <w:r>
        <w:t xml:space="preserve"> performance across all divisions. Revenue grew by </w:t>
      </w:r>
      <w:r>
        <w:rPr>
          <w:b/>
          <w:color w:val="008000"/>
        </w:rPr>
        <w:t xml:space="preserve">15%</w:t>
      </w:r>
      <w:r>
        <w:t xml:space="preserve"> year-over-year, driven primarily by our </w:t>
      </w:r>
      <w:r>
        <w:rPr>
          <w:i/>
        </w:rPr>
        <w:t xml:space="preserve">cloud services</w:t>
      </w:r>
      <w:r>
        <w:t xml:space="preserve"> division. </w:t>
      </w:r>
    </w:p>
    <w:p>
      <w:pPr>
        <w:pStyle w:val="SubtleReference"/>
      </w:pPr>
      <w:r>
        <w:t xml:space="preserve">Source: Q4 2024 Financial Statements</w:t>
      </w:r>
    </w:p>
    <w:p>
      <w:pPr>
        <w:pStyle w:val="Heading2"/>
      </w:pPr>
      <w:r>
        <w:rPr>
          <w:b/>
        </w:rPr>
        <w:t xml:space="preserve">Key Metrics</w:t>
      </w:r>
    </w:p>
    <w:p>
      <w:r>
        <w:rPr>
          <w:b/>
        </w:rPr>
        <w:t xml:space="preserve">Quarterly Revenue (in millions)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Quarter</w:t>
            </w:r>
          </w:p>
        </w:tc>
        <w:tc>
          <w:p>
            <w:r>
              <w:rPr>
                <w:b/>
              </w:rPr>
              <w:t xml:space="preserve">Revenue</w:t>
            </w:r>
          </w:p>
        </w:tc>
        <w:tc>
          <w:p>
            <w:r>
              <w:rPr>
                <w:b/>
              </w:rPr>
              <w:t xml:space="preserve">Growth</w:t>
            </w:r>
          </w:p>
        </w:tc>
      </w:tr>
      <w:tr>
        <w:tc>
          <w:p>
            <w:r>
              <w:t xml:space="preserve">Q1</w:t>
            </w:r>
          </w:p>
        </w:tc>
        <w:tc>
          <w:tcPr/>
          <w:p>
            <w:r>
              <w:t xml:space="preserve">$12.3M</w:t>
            </w:r>
          </w:p>
        </w:tc>
        <w:tc>
          <w:p>
            <w:r>
              <w:rPr>
                <w:color w:val="008000"/>
              </w:rPr>
              <w:t xml:space="preserve">+8%</w:t>
            </w:r>
          </w:p>
        </w:tc>
      </w:tr>
      <w:tr>
        <w:tc>
          <w:p>
            <w:r>
              <w:t xml:space="preserve">Q2</w:t>
            </w:r>
          </w:p>
        </w:tc>
        <w:tc>
          <w:tcPr/>
          <w:p>
            <w:r>
              <w:t xml:space="preserve">$14.1M</w:t>
            </w:r>
          </w:p>
        </w:tc>
        <w:tc>
          <w:p>
            <w:r>
              <w:rPr>
                <w:color w:val="008000"/>
              </w:rPr>
              <w:t xml:space="preserve">+12%</w:t>
            </w:r>
          </w:p>
        </w:tc>
      </w:tr>
      <w:tr>
        <w:tc>
          <w:p>
            <w:r>
              <w:t xml:space="preserve">Q3</w:t>
            </w:r>
          </w:p>
        </w:tc>
        <w:tc>
          <w:tcPr/>
          <w:p>
            <w:r>
              <w:t xml:space="preserve">$13.8M</w:t>
            </w:r>
          </w:p>
        </w:tc>
        <w:tc>
          <w:p>
            <w:r>
              <w:rPr>
                <w:color w:val="FF0000"/>
              </w:rPr>
              <w:t xml:space="preserve">-2%</w:t>
            </w:r>
          </w:p>
        </w:tc>
      </w:tr>
      <w:tr>
        <w:tc>
          <w:p>
            <w:r>
              <w:t xml:space="preserve">Q4</w:t>
            </w:r>
          </w:p>
        </w:tc>
        <w:tc>
          <w:tcPr/>
          <w:p>
            <w:r>
              <w:t xml:space="preserve">$16.2M</w:t>
            </w:r>
          </w:p>
        </w:tc>
        <w:tc>
          <w:p>
            <w:r>
              <w:rPr>
                <w:color w:val="008000"/>
              </w:rPr>
              <w:t xml:space="preserve">+17%</w:t>
            </w:r>
          </w:p>
        </w:tc>
      </w:tr>
    </w:tbl>
    <w:p>
      <w:pPr>
        <w:pStyle w:val="Heading2"/>
      </w:pPr>
      <w:r>
        <w:rPr>
          <w:b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contextualSpacing/>
      </w:pPr>
      <w:r>
        <w:rPr>
          <w:b/>
        </w:rPr>
        <w:t xml:space="preserve">Cloud expansion</w:t>
      </w:r>
      <w:r>
        <w:t xml:space="preserve"> — migrate remaining on-prem clients 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Target: </w:t>
      </w:r>
      <w:r>
        <w:rPr>
          <w:color w:val="4472C4"/>
        </w:rPr>
        <w:t xml:space="preserve">95% cloud adoption</w:t>
      </w:r>
      <w:r>
        <w:t xml:space="preserve"> by Q2 2025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Investment: </w:t>
      </w:r>
      <w:r>
        <w:rPr>
          <w:rFonts w:ascii="Courier New" w:hAnsi="Courier New"/>
        </w:rPr>
        <w:t xml:space="preserve">$2.5M</w:t>
      </w:r>
      <w:r>
        <w:t xml:space="preserve"> in infrastructure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contextualSpacing/>
      </w:pPr>
      <w:r>
        <w:rPr>
          <w:b/>
        </w:rPr>
        <w:t xml:space="preserve">AI integration</w:t>
      </w:r>
      <w:r>
        <w:t xml:space="preserve"> — embed </w:t>
      </w:r>
      <w:r>
        <w:t xml:space="preserve">ML</w:t>
      </w:r>
      <w:r>
        <w:rPr>
          <w:vertAlign w:val="superscript"/>
        </w:rPr>
        <w:footnoteReference w:id="1"/>
      </w:r>
      <w:r>
        <w:t xml:space="preserve"> capabilities </w:t>
      </w:r>
    </w:p>
    <w:p>
      <w:pPr>
        <w:pStyle w:val="ListParagraph"/>
        <w:numPr>
          <w:ilvl w:val="1"/>
          <w:numId w:val="6"/>
        </w:numPr>
        <w:contextualSpacing/>
      </w:pPr>
      <w:r>
        <w:t xml:space="preserve">Natural language processing</w:t>
      </w:r>
    </w:p>
    <w:p>
      <w:pPr>
        <w:pStyle w:val="ListParagraph"/>
        <w:numPr>
          <w:ilvl w:val="1"/>
          <w:numId w:val="6"/>
        </w:numPr>
        <w:contextualSpacing/>
      </w:pPr>
      <w:r>
        <w:t xml:space="preserve">Predictive analytics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contextualSpacing/>
      </w:pPr>
      <w:r>
        <w:rPr>
          <w:strike/>
        </w:rPr>
        <w:t xml:space="preserve">Legacy system retirement</w:t>
      </w:r>
      <w:r>
        <w:t xml:space="preserve"> </w:t>
      </w:r>
      <w:r>
        <w:rPr>
          <w:u w:val="single"/>
        </w:rPr>
        <w:t xml:space="preserve">Completed in Q3</w:t>
      </w:r>
    </w:p>
    <w:p>
      <w:pPr>
        <w:pStyle w:val="Heading3"/>
        <w:spacing w:before="480"/>
      </w:pPr>
      <w:r>
        <w:rPr>
          <w:b/>
        </w:rPr>
        <w:t xml:space="preserve">Risk Factors</w:t>
      </w:r>
    </w:p>
    <w:p>
      <w:r>
        <w:t xml:space="preserve"> Market volatility and regulatory changes remain the </w:t>
      </w:r>
      <w:r>
        <w:rPr>
          <w:rStyle w:val="IntenseEmphasis"/>
        </w:rPr>
        <w:t xml:space="preserve">primary concerns</w:t>
      </w:r>
      <w:r>
        <w:t xml:space="preserve"> for the upcoming fiscal year. </w:t>
      </w:r>
      <w:r>
        <w:rPr>
          <w:vertAlign w:val="superscript"/>
        </w:rPr>
        <w:footnoteReference w:id="2"/>
      </w:r>
    </w:p>
    <w:p>
      <w:r>
        <w:t xml:space="preserve">This section uses combined CSS: justified text, custom margins on all sides, and 150% line spacing. It demonstrates that </w:t>
      </w:r>
      <w:r>
        <w:rPr>
          <w:u w:val="single"/>
        </w:rPr>
        <w:t xml:space="preserve">multiple paragraph-level CSS properties</w:t>
      </w:r>
      <w:r>
        <w:t xml:space="preserve"> can be applied simultaneously alongside </w:t>
      </w:r>
      <w:r>
        <w:rPr>
          <w:b/>
        </w:rPr>
        <w:t xml:space="preserve">inline formatting</w:t>
      </w:r>
      <w:r>
        <w:t xml:space="preserve">.</w:t>
      </w:r>
    </w:p>
    <w:p>
      <w:pPr>
        <w:pStyle w:val="Heading3"/>
      </w:pPr>
      <w:r>
        <w:rPr>
          <w:b/>
        </w:rPr>
        <w:t xml:space="preserve">Team Contacts</w:t>
      </w:r>
    </w:p>
    <w:p>
      <w:r>
        <w:rPr>
          <w:b/>
        </w:rPr>
        <w:t xml:space="preserve">Engineering</w:t>
      </w:r>
    </w:p>
    <w:p>
      <w:r>
        <w:t xml:space="preserve">Contact </w:t>
      </w:r>
      <w:hyperlink xmlns:r="http://schemas.openxmlformats.org/officeDocument/2006/relationships" r:id="DeterministicId2">
        <w:r>
          <w:rPr>
            <w:color w:val="0563C1"/>
            <w:u w:val="single"/>
          </w:rPr>
          <w:t xml:space="preserve">eng@example.com</w:t>
        </w:r>
      </w:hyperlink>
    </w:p>
    <w:p>
      <w:r>
        <w:rPr>
          <w:b/>
        </w:rPr>
        <w:t xml:space="preserve">Sales</w:t>
      </w:r>
    </w:p>
    <w:p>
      <w:r>
        <w:t xml:space="preserve">Contact </w:t>
      </w:r>
      <w:hyperlink xmlns:r="http://schemas.openxmlformats.org/officeDocument/2006/relationships" r:id="DeterministicId3">
        <w:r>
          <w:rPr>
            <w:color w:val="0563C1"/>
            <w:u w:val="single"/>
          </w:rPr>
          <w:t xml:space="preserve">sales@example.com</w:t>
        </w:r>
      </w:hyperlink>
    </w:p>
    <w:p>
      <w:r>
        <w:t xml:space="preserve">———</w:t>
      </w:r>
    </w:p>
    <w:p>
      <w:pPr>
        <w:jc w:val="center"/>
      </w:pPr>
      <w:r>
        <w:t xml:space="preserve"> </w:t>
      </w:r>
      <w:r>
        <w:rPr>
          <w:sz w:val="19"/>
        </w:rPr>
        <w:t xml:space="preserve">Confidential — </w:t>
      </w:r>
      <w:r>
        <w:rPr>
          <w:rFonts w:ascii="Courier New" w:hAnsi="Courier New"/>
          <w:sz w:val="19"/>
        </w:rPr>
        <w:t xml:space="preserve">Internal Use Only</w:t>
      </w:r>
      <w:r>
        <w:t xml:space="preserve"> </w:t>
      </w:r>
    </w:p>
    <w:p>
      <w:r>
        <w:t xml:space="preserve">Appendix A: Raw Data
Q1: 12300000
Q2: 14100000
Q3: 13800000
Q4: 16200000</w:t>
      </w:r>
    </w:p>
    <w:p>
      <w:pPr>
        <w:pageBreakBefore/>
        <w:spacing w:before="1440"/>
        <w:jc w:val="center"/>
      </w:pPr>
      <w:r>
        <w:t xml:space="preserve"> </w:t>
      </w:r>
      <w:r>
        <w:rPr>
          <w:vertAlign w:val="superscript"/>
        </w:rPr>
        <w:t xml:space="preserve">1</w:t>
      </w:r>
      <w:r>
        <w:t xml:space="preserve"> All figures are in USD. See </w:t>
      </w:r>
      <w:hyperlink w:anchor="appendix">
        <w:r>
          <w:rPr>
            <w:color w:val="0563C1"/>
            <w:u w:val="single"/>
          </w:rPr>
          <w:t xml:space="preserve">appendix</w:t>
        </w:r>
      </w:hyperlink>
      <w:r>
        <w:t xml:space="preserve"> for methodology. </w:t>
      </w:r>
    </w:p>
    <w:p>
      <w:pPr>
        <w:pStyle w:val="Heading2"/>
      </w:pPr>
      <w:bookmarkStart w:name="appendix" w:id="1"/>
      <w:r>
        <w:rPr>
          <w:b/>
        </w:rPr>
        <w:t xml:space="preserve">Appendix: Methodology</w:t>
      </w:r>
    </w:p>
    <w:p>
      <w:r>
        <w:t xml:space="preserve">Revenue figures are calculated using </w:t>
      </w:r>
      <w:r>
        <w:t xml:space="preserve">“</w:t>
      </w:r>
      <w:r>
        <w:t xml:space="preserve">accrual basis accounting</w:t>
      </w:r>
      <w:r>
        <w:t xml:space="preserve">”</w:t>
      </w:r>
      <w:r>
        <w:t xml:space="preserve"> as defined by </w:t>
      </w:r>
      <w:r>
        <w:t xml:space="preserve">GAAP</w:t>
      </w:r>
      <w:r>
        <w:rPr>
          <w:vertAlign w:val="superscript"/>
        </w:rPr>
        <w:footnoteReference w:id="3"/>
      </w:r>
      <w:r>
        <w:t xml:space="preserve">.</w:t>
      </w:r>
      <w:bookmarkEnd w:id="1"/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Machine Learning</w:t>
      </w:r>
    </w:p>
  </w:footnote>
  <w:footnote w:id="2">
    <w:p>
      <w:r>
        <w:rPr>
          <w:vertAlign w:val="superscript"/>
        </w:rPr>
        <w:footnoteRef/>
      </w:r>
      <w:r>
        <w:t xml:space="preserve"> https://example.com/risk-report</w:t>
      </w:r>
    </w:p>
  </w:footnote>
  <w:footnote w:id="3">
    <w:p>
      <w:r>
        <w:rPr>
          <w:vertAlign w:val="superscript"/>
        </w:rPr>
        <w:footnoteRef/>
      </w:r>
      <w:r>
        <w:t xml:space="preserve"> Generally Accepted Accounting Principles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  <num xmlns:p2="http://schemas.openxmlformats.org/wordprocessingml/2006/main" p2:numId="6">
    <p2:abstractNumId p2:val="2"/>
  </num>
</numbering>
</file>

<file path=word/styles.xml><?xml version="1.0" encoding="utf-8"?>
<w:styles xmlns:w="http://schemas.openxmlformats.org/wordprocessingml/2006/main">
  <w:style w:type="paragraph" w:styleId="SubtleReference">
    <w:name w:val="Subtle Reference"/>
    <w:basedOn w:val="Normal"/>
    <w:pPr>
      <w:spacing w:after="100"/>
    </w:pPr>
  </w:style>
  <w:style w:type="character" w:styleId="IntenseEmphasis">
    <w:name w:val="Intense Emphasis"/>
    <w:rPr>
      <w:b/>
      <w:i/>
      <w:color w:val="4472C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hyperlink" Target="mailto:eng@example.com" TargetMode="External" Id="DeterministicId2" /><Relationship Type="http://schemas.openxmlformats.org/officeDocument/2006/relationships/hyperlink" Target="mailto:sales@example.com" TargetMode="External" Id="DeterministicId3" /><Relationship Type="http://schemas.openxmlformats.org/officeDocument/2006/relationships/numbering" Target="numbering.xml" Id="DeterministicId4" /><Relationship Type="http://schemas.openxmlformats.org/officeDocument/2006/relationships/styles" Target="styles.xml" Id="DeterministicId5" /></Relationships>
</file>