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pPr>
              <w:jc w:val="right"/>
            </w:pPr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pPr>
              <w:jc w:val="right"/>
            </w:pPr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pPr>
              <w:jc w:val="right"/>
            </w:pPr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pPr>
              <w:jc w:val="right"/>
            </w:pPr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pPr>
        <w:spacing w:line="360" w:lineRule="auto"/>
        <w:ind w:left="720" w:right="720"/>
        <w:jc w:val="both"/>
      </w:pPr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color w:val="0563C1"/>
            <w:u w:val="single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color w:val="0563C1"/>
            <w:u w:val="single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t xml:space="preserve"> </w:t>
      </w:r>
      <w:r>
        <w:rPr>
          <w:sz w:val="19"/>
        </w:rPr>
        <w:t xml:space="preserve">Confidential — </w:t>
      </w:r>
      <w:r>
        <w:rPr>
          <w:rFonts w:ascii="Courier New" w:hAnsi="Courier New"/>
          <w:sz w:val="19"/>
        </w:rPr>
        <w:t xml:space="preserve">Internal Use Only</w:t>
      </w:r>
      <w:r>
        <w:t xml:space="preserve"> </w:t>
      </w:r>
    </w:p>
    <w:p>
      <w:r>
        <w:t xml:space="preserve">Appendix A: Raw Data</w:t>
        <w:br/>
        <w:t xml:space="preserve">Q1: 12300000</w:t>
        <w:br/>
        <w:t xml:space="preserve">Q2: 14100000</w:t>
        <w:br/>
        <w:t xml:space="preserve">Q3: 13800000</w:t>
        <w:br/>
        <w:t xml:space="preserve">Q4: 16200000</w:t>
      </w:r>
    </w:p>
    <w:p>
      <w:pPr>
        <w:pageBreakBefore/>
        <w:spacing w:before="1440"/>
        <w:jc w:val="center"/>
      </w:pPr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color w:val="0563C1"/>
            <w:u w:val="single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