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footnotes.xml" ContentType="application/vnd.openxmlformats-officedocument.wordprocessingml.footnot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 To be or not to be, that is the question. </w:t>
      </w:r>
      <w:r>
        <w:rPr>
          <w:vertAlign w:val="superscript"/>
        </w:rPr>
        <w:footnoteReference w:id="1"/>
      </w:r>
    </w:p>
    <w:p>
      <w:r>
        <w:t xml:space="preserve">Normal paragraph after quote.</w:t>
      </w:r>
    </w:p>
    <w:sectPr>
      <w:pgSz w:w="11906" w:h="16838"/>
      <w:pgMar w:top="1440" w:right="1440" w:bottom="1440" w:left="1440" w:header="720" w:footer="720" w:gutter="0"/>
    </w:sectPr>
  </w:body>
</w:document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rPr>
          <w:vertAlign w:val="superscript"/>
        </w:rPr>
        <w:footnoteRef/>
      </w:r>
      <w:r>
        <w:t xml:space="preserve"> https://example.com/source</w:t>
      </w:r>
    </w:p>
  </w:footnote>
</w:footnotes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footnotes.xml" Id="DeterministicId1" /></Relationships>
</file>