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pPr>
              <w:jc w:val="right"/>
            </w:pPr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pPr>
              <w:jc w:val="right"/>
            </w:pPr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pPr>
              <w:jc w:val="right"/>
            </w:pPr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pPr>
              <w:jc w:val="right"/>
            </w:pPr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5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5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pPr>
        <w:spacing w:line="360" w:lineRule="auto"/>
        <w:ind w:left="720" w:right="720"/>
        <w:jc w:val="both"/>
      </w:pPr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</w:t>
        <w:br/>
        <w:t xml:space="preserve">Q1: 12300000</w:t>
        <w:br/>
        <w:t xml:space="preserve">Q2: 14100000</w:t>
        <w:br/>
        <w:t xml:space="preserve">Q3: 13800000</w:t>
        <w:br/>
        <w:t xml:space="preserve">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pPr>
        <w:pStyle w:val="Heading2"/>
      </w:pPr>
      <w:bookmarkStart w:name="appendix" w:id="1"/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  <p2:lvlOverride p2:ilvl="0">
      <p2:startOverride p2:val="1"/>
    </p2:lvlOverride>
  </num>
  <num xmlns:p2="http://schemas.openxmlformats.org/wordprocessingml/2006/main" p2:numId="4">
    <p2:abstractNumId p2:val="0"/>
  </num>
  <num xmlns:p2="http://schemas.openxmlformats.org/wordprocessingml/2006/main" p2:numId="5">
    <p2:abstractNumId p2:val="1"/>
    <p2:lvlOverride p2:ilvl="1">
      <p2:startOverride p2:val="1"/>
    </p2:lvlOverride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