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Order ORD-2026-0001</w:t>
      </w:r>
    </w:p>
    <w:p>
      <w:r>
        <w:t xml:space="preserve">Buyer: Acme Corp</w:t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</w:tblGrid>
      <w:tr>
        <w:tc>
          <w:p>
            <w:pPr>
              <w:jc w:val="left"/>
            </w:pPr>
            <w:r>
              <w:rPr>
                <w:b/>
              </w:rPr>
              <w:t xml:space="preserve">Street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City</w:t>
            </w:r>
          </w:p>
        </w:tc>
      </w:tr>
      <w:tr>
        <w:tc>
          <w:p>
            <w:r>
              <w:t xml:space="preserve">1 Pine St</w:t>
            </w:r>
          </w:p>
        </w:tc>
        <w:tc>
          <w:p>
            <w:r>
              <w:t xml:space="preserve">Portland</w:t>
            </w:r>
          </w:p>
        </w:tc>
      </w:tr>
      <w:tr>
        <w:tc>
          <w:p>
            <w:r>
              <w:t xml:space="preserve">42 Oak Ave</w:t>
            </w:r>
          </w:p>
        </w:tc>
        <w:tc>
          <w:p>
            <w:r>
              <w:t xml:space="preserve">Seattle</w:t>
            </w:r>
          </w:p>
        </w:tc>
      </w:tr>
    </w:tbl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