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01. Planificación de interfaces gráficas</w:t>
      </w:r>
    </w:p>
    <w:p w:rsidR="00000000" w:rsidDel="00000000" w:rsidP="00000000" w:rsidRDefault="00000000" w:rsidRPr="00000000" w14:paraId="0000000E">
      <w:pPr>
        <w:pStyle w:val="Heading1"/>
        <w:numPr>
          <w:ilvl w:val="0"/>
          <w:numId w:val="3"/>
        </w:numPr>
        <w:spacing w:after="0" w:afterAutospacing="0"/>
        <w:ind w:left="432"/>
        <w:rPr>
          <w:u w:val="none"/>
        </w:rPr>
      </w:pPr>
      <w:bookmarkStart w:colFirst="0" w:colLast="0" w:name="_35ynxtfrmuvw" w:id="1"/>
      <w:bookmarkEnd w:id="1"/>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Conocimientos avanzados de programación.</w:t>
      </w:r>
      <w:r w:rsidDel="00000000" w:rsidR="00000000" w:rsidRPr="00000000">
        <w:rPr>
          <w:rtl w:val="0"/>
        </w:rPr>
      </w:r>
    </w:p>
    <w:p w:rsidR="00000000" w:rsidDel="00000000" w:rsidP="00000000" w:rsidRDefault="00000000" w:rsidRPr="00000000" w14:paraId="00000010">
      <w:pPr>
        <w:pStyle w:val="Heading1"/>
        <w:numPr>
          <w:ilvl w:val="0"/>
          <w:numId w:val="3"/>
        </w:numPr>
        <w:spacing w:after="0" w:afterAutospacing="0" w:before="0" w:beforeAutospacing="0"/>
        <w:ind w:left="432"/>
        <w:rPr>
          <w:u w:val="none"/>
        </w:rPr>
      </w:pPr>
      <w:bookmarkStart w:colFirst="0" w:colLast="0" w:name="_1w7nzw2o20ar" w:id="2"/>
      <w:bookmarkEnd w:id="2"/>
      <w:r w:rsidDel="00000000" w:rsidR="00000000" w:rsidRPr="00000000">
        <w:rPr>
          <w:rtl w:val="0"/>
        </w:rPr>
        <w:t xml:space="preserve"> Objetivos</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Comprender el papel de la planificación de interfaces en el ámbito profesional y su relación con el desarrollo de aplicaciones y productos digitales.</w:t>
      </w:r>
    </w:p>
    <w:p w:rsidR="00000000" w:rsidDel="00000000" w:rsidP="00000000" w:rsidRDefault="00000000" w:rsidRPr="00000000" w14:paraId="00000012">
      <w:pPr>
        <w:numPr>
          <w:ilvl w:val="0"/>
          <w:numId w:val="2"/>
        </w:numPr>
        <w:spacing w:after="0" w:afterAutospacing="0" w:before="0" w:beforeAutospacing="0"/>
        <w:ind w:left="720" w:hanging="360"/>
        <w:rPr>
          <w:u w:val="none"/>
        </w:rPr>
      </w:pPr>
      <w:r w:rsidDel="00000000" w:rsidR="00000000" w:rsidRPr="00000000">
        <w:rPr>
          <w:rtl w:val="0"/>
        </w:rPr>
        <w:t xml:space="preserve">Identificar y diferenciar los principales tipos de interfaces gráficas, valorando sus usos, ventajas y limitaciones.</w:t>
      </w:r>
    </w:p>
    <w:p w:rsidR="00000000" w:rsidDel="00000000" w:rsidP="00000000" w:rsidRDefault="00000000" w:rsidRPr="00000000" w14:paraId="00000013">
      <w:pPr>
        <w:numPr>
          <w:ilvl w:val="0"/>
          <w:numId w:val="2"/>
        </w:numPr>
        <w:spacing w:after="0" w:afterAutospacing="0" w:before="0" w:beforeAutospacing="0"/>
        <w:ind w:left="720" w:hanging="360"/>
        <w:rPr>
          <w:u w:val="none"/>
        </w:rPr>
      </w:pPr>
      <w:r w:rsidDel="00000000" w:rsidR="00000000" w:rsidRPr="00000000">
        <w:rPr>
          <w:rtl w:val="0"/>
        </w:rPr>
        <w:t xml:space="preserve">Analizar los principios de usabilidad y experiencia de usuario para aplicarlos en el diseño de interfaces eficientes y accesibles.</w:t>
      </w:r>
    </w:p>
    <w:p w:rsidR="00000000" w:rsidDel="00000000" w:rsidP="00000000" w:rsidRDefault="00000000" w:rsidRPr="00000000" w14:paraId="00000014">
      <w:pPr>
        <w:numPr>
          <w:ilvl w:val="0"/>
          <w:numId w:val="2"/>
        </w:numPr>
        <w:spacing w:after="0" w:afterAutospacing="0" w:before="0" w:beforeAutospacing="0"/>
        <w:ind w:left="720" w:hanging="360"/>
        <w:rPr>
          <w:u w:val="none"/>
        </w:rPr>
      </w:pPr>
      <w:r w:rsidDel="00000000" w:rsidR="00000000" w:rsidRPr="00000000">
        <w:rPr>
          <w:rtl w:val="0"/>
        </w:rPr>
        <w:t xml:space="preserve">Reconocer la influencia de los elementos visuales y de la percepción en la interacción con la interfaz, aplicando criterios de diseño estético y funcional.</w:t>
      </w:r>
    </w:p>
    <w:p w:rsidR="00000000" w:rsidDel="00000000" w:rsidP="00000000" w:rsidRDefault="00000000" w:rsidRPr="00000000" w14:paraId="00000015">
      <w:pPr>
        <w:numPr>
          <w:ilvl w:val="0"/>
          <w:numId w:val="2"/>
        </w:numPr>
        <w:spacing w:after="0" w:afterAutospacing="0" w:before="0" w:beforeAutospacing="0"/>
        <w:ind w:left="720" w:hanging="360"/>
        <w:rPr>
          <w:u w:val="none"/>
        </w:rPr>
      </w:pPr>
      <w:r w:rsidDel="00000000" w:rsidR="00000000" w:rsidRPr="00000000">
        <w:rPr>
          <w:rtl w:val="0"/>
        </w:rPr>
        <w:t xml:space="preserve">Utilizar guías de estilo para asegurar la coherencia, la consistencia y la calidad en el diseño de interfaces.</w:t>
      </w:r>
    </w:p>
    <w:p w:rsidR="00000000" w:rsidDel="00000000" w:rsidP="00000000" w:rsidRDefault="00000000" w:rsidRPr="00000000" w14:paraId="00000016">
      <w:pPr>
        <w:numPr>
          <w:ilvl w:val="0"/>
          <w:numId w:val="2"/>
        </w:numPr>
        <w:spacing w:after="0" w:afterAutospacing="0" w:before="0" w:beforeAutospacing="0"/>
        <w:ind w:left="720" w:hanging="360"/>
        <w:rPr>
          <w:u w:val="none"/>
        </w:rPr>
      </w:pPr>
      <w:r w:rsidDel="00000000" w:rsidR="00000000" w:rsidRPr="00000000">
        <w:rPr>
          <w:rtl w:val="0"/>
        </w:rPr>
        <w:t xml:space="preserve">Identificar y organizar los componentes y estructuras fundamentales de una interfaz gráfica de usuario.</w:t>
      </w:r>
    </w:p>
    <w:p w:rsidR="00000000" w:rsidDel="00000000" w:rsidP="00000000" w:rsidRDefault="00000000" w:rsidRPr="00000000" w14:paraId="00000017">
      <w:pPr>
        <w:numPr>
          <w:ilvl w:val="0"/>
          <w:numId w:val="2"/>
        </w:numPr>
        <w:spacing w:after="0" w:afterAutospacing="0" w:before="0" w:beforeAutospacing="0"/>
        <w:ind w:left="720" w:hanging="360"/>
        <w:rPr>
          <w:u w:val="none"/>
        </w:rPr>
      </w:pPr>
      <w:r w:rsidDel="00000000" w:rsidR="00000000" w:rsidRPr="00000000">
        <w:rPr>
          <w:rtl w:val="0"/>
        </w:rPr>
        <w:t xml:space="preserve">Planificar el diseño de una interfaz considerando objetivos, usuarios, requisitos y criterios de calidad.</w:t>
      </w:r>
    </w:p>
    <w:p w:rsidR="00000000" w:rsidDel="00000000" w:rsidP="00000000" w:rsidRDefault="00000000" w:rsidRPr="00000000" w14:paraId="00000018">
      <w:pPr>
        <w:numPr>
          <w:ilvl w:val="0"/>
          <w:numId w:val="2"/>
        </w:numPr>
        <w:spacing w:after="0" w:afterAutospacing="0" w:before="0" w:beforeAutospacing="0"/>
        <w:ind w:left="720" w:hanging="360"/>
        <w:rPr>
          <w:u w:val="none"/>
        </w:rPr>
      </w:pPr>
      <w:r w:rsidDel="00000000" w:rsidR="00000000" w:rsidRPr="00000000">
        <w:rPr>
          <w:rtl w:val="0"/>
        </w:rPr>
        <w:t xml:space="preserve">Manejar herramientas de diseño y prototipado sin código para crear representaciones visuales de interfaces antes de su implementación.</w:t>
      </w:r>
      <w:r w:rsidDel="00000000" w:rsidR="00000000" w:rsidRPr="00000000">
        <w:rPr>
          <w:rtl w:val="0"/>
        </w:rPr>
      </w:r>
    </w:p>
    <w:p w:rsidR="00000000" w:rsidDel="00000000" w:rsidP="00000000" w:rsidRDefault="00000000" w:rsidRPr="00000000" w14:paraId="00000019">
      <w:pPr>
        <w:pStyle w:val="Heading1"/>
        <w:numPr>
          <w:ilvl w:val="0"/>
          <w:numId w:val="3"/>
        </w:numPr>
        <w:spacing w:after="0" w:afterAutospacing="0" w:before="0" w:beforeAutospacing="0"/>
        <w:ind w:left="432"/>
        <w:rPr>
          <w:u w:val="none"/>
        </w:rPr>
      </w:pPr>
      <w:bookmarkStart w:colFirst="0" w:colLast="0" w:name="_u76wnfr4jev9" w:id="3"/>
      <w:bookmarkEnd w:id="3"/>
      <w:r w:rsidDel="00000000" w:rsidR="00000000" w:rsidRPr="00000000">
        <w:rPr>
          <w:rtl w:val="0"/>
        </w:rPr>
        <w:t xml:space="preserve">Contenidos</w:t>
      </w:r>
    </w:p>
    <w:p w:rsidR="00000000" w:rsidDel="00000000" w:rsidP="00000000" w:rsidRDefault="00000000" w:rsidRPr="00000000" w14:paraId="0000001A">
      <w:pPr>
        <w:numPr>
          <w:ilvl w:val="0"/>
          <w:numId w:val="4"/>
        </w:numPr>
        <w:spacing w:after="0" w:afterAutospacing="0" w:before="0" w:beforeAutospacing="0"/>
        <w:ind w:left="720" w:hanging="360"/>
      </w:pPr>
      <w:r w:rsidDel="00000000" w:rsidR="00000000" w:rsidRPr="00000000">
        <w:rPr>
          <w:rtl w:val="0"/>
        </w:rPr>
        <w:t xml:space="preserve">Tipos de interfaces gráficas</w:t>
      </w:r>
    </w:p>
    <w:p w:rsidR="00000000" w:rsidDel="00000000" w:rsidP="00000000" w:rsidRDefault="00000000" w:rsidRPr="00000000" w14:paraId="0000001B">
      <w:pPr>
        <w:numPr>
          <w:ilvl w:val="0"/>
          <w:numId w:val="4"/>
        </w:numPr>
        <w:spacing w:after="0" w:afterAutospacing="0" w:before="0" w:beforeAutospacing="0"/>
        <w:ind w:left="720" w:hanging="360"/>
      </w:pPr>
      <w:r w:rsidDel="00000000" w:rsidR="00000000" w:rsidRPr="00000000">
        <w:rPr>
          <w:rtl w:val="0"/>
        </w:rPr>
        <w:t xml:space="preserve">Usabilidad y experiencia de usuario</w:t>
      </w:r>
    </w:p>
    <w:p w:rsidR="00000000" w:rsidDel="00000000" w:rsidP="00000000" w:rsidRDefault="00000000" w:rsidRPr="00000000" w14:paraId="0000001C">
      <w:pPr>
        <w:numPr>
          <w:ilvl w:val="0"/>
          <w:numId w:val="4"/>
        </w:numPr>
        <w:spacing w:after="0" w:afterAutospacing="0" w:before="0" w:beforeAutospacing="0"/>
        <w:ind w:left="720" w:hanging="360"/>
      </w:pPr>
      <w:r w:rsidDel="00000000" w:rsidR="00000000" w:rsidRPr="00000000">
        <w:rPr>
          <w:rtl w:val="0"/>
        </w:rPr>
        <w:t xml:space="preserve">Diseño visual y percepción</w:t>
      </w:r>
    </w:p>
    <w:p w:rsidR="00000000" w:rsidDel="00000000" w:rsidP="00000000" w:rsidRDefault="00000000" w:rsidRPr="00000000" w14:paraId="0000001D">
      <w:pPr>
        <w:numPr>
          <w:ilvl w:val="0"/>
          <w:numId w:val="4"/>
        </w:numPr>
        <w:spacing w:after="0" w:afterAutospacing="0" w:before="0" w:beforeAutospacing="0"/>
        <w:ind w:left="720" w:hanging="360"/>
      </w:pPr>
      <w:r w:rsidDel="00000000" w:rsidR="00000000" w:rsidRPr="00000000">
        <w:rPr>
          <w:rtl w:val="0"/>
        </w:rPr>
        <w:t xml:space="preserve">Guías de estilo</w:t>
      </w:r>
    </w:p>
    <w:p w:rsidR="00000000" w:rsidDel="00000000" w:rsidP="00000000" w:rsidRDefault="00000000" w:rsidRPr="00000000" w14:paraId="0000001E">
      <w:pPr>
        <w:numPr>
          <w:ilvl w:val="0"/>
          <w:numId w:val="4"/>
        </w:numPr>
        <w:spacing w:after="0" w:afterAutospacing="0" w:before="0" w:beforeAutospacing="0"/>
        <w:ind w:left="720" w:hanging="360"/>
      </w:pPr>
      <w:r w:rsidDel="00000000" w:rsidR="00000000" w:rsidRPr="00000000">
        <w:rPr>
          <w:rtl w:val="0"/>
        </w:rPr>
        <w:t xml:space="preserve">Componentes y estructuras de una interfaz</w:t>
      </w:r>
    </w:p>
    <w:p w:rsidR="00000000" w:rsidDel="00000000" w:rsidP="00000000" w:rsidRDefault="00000000" w:rsidRPr="00000000" w14:paraId="0000001F">
      <w:pPr>
        <w:numPr>
          <w:ilvl w:val="0"/>
          <w:numId w:val="4"/>
        </w:numPr>
        <w:spacing w:after="0" w:afterAutospacing="0" w:before="0" w:beforeAutospacing="0"/>
        <w:ind w:left="720" w:hanging="360"/>
      </w:pPr>
      <w:r w:rsidDel="00000000" w:rsidR="00000000" w:rsidRPr="00000000">
        <w:rPr>
          <w:rtl w:val="0"/>
        </w:rPr>
        <w:t xml:space="preserve">Planificación del diseño de la interfaz</w:t>
      </w:r>
      <w:r w:rsidDel="00000000" w:rsidR="00000000" w:rsidRPr="00000000">
        <w:rPr>
          <w:rtl w:val="0"/>
        </w:rPr>
      </w:r>
    </w:p>
    <w:p w:rsidR="00000000" w:rsidDel="00000000" w:rsidP="00000000" w:rsidRDefault="00000000" w:rsidRPr="00000000" w14:paraId="00000020">
      <w:pPr>
        <w:pStyle w:val="Heading1"/>
        <w:numPr>
          <w:ilvl w:val="0"/>
          <w:numId w:val="3"/>
        </w:numPr>
        <w:spacing w:before="0" w:beforeAutospacing="0"/>
        <w:ind w:left="432"/>
        <w:rPr>
          <w:u w:val="none"/>
        </w:rPr>
      </w:pPr>
      <w:bookmarkStart w:colFirst="0" w:colLast="0" w:name="_a1okclatiswm" w:id="4"/>
      <w:bookmarkEnd w:id="4"/>
      <w:r w:rsidDel="00000000" w:rsidR="00000000" w:rsidRPr="00000000">
        <w:rPr>
          <w:rtl w:val="0"/>
        </w:rPr>
        <w:t xml:space="preserve">Actividades</w:t>
      </w:r>
    </w:p>
    <w:p w:rsidR="00000000" w:rsidDel="00000000" w:rsidP="00000000" w:rsidRDefault="00000000" w:rsidRPr="00000000" w14:paraId="00000021">
      <w:pPr>
        <w:rPr/>
      </w:pPr>
      <w:r w:rsidDel="00000000" w:rsidR="00000000" w:rsidRPr="00000000">
        <w:rPr>
          <w:rtl w:val="0"/>
        </w:rPr>
        <w:t xml:space="preserve">Esta unidad no se estudia de forma aislada, sino integrada en un bloque junto con las seis primeras unidades del módulo. Al finalizar la sexta unidad, se propondrán actividades de carácter no evaluable que engloban los contenidos trabajados en todo el bloque. La realización de dichas actividades será fundamental para afianzar los conocimientos, ya que los aprendizajes adquiridos en estas unidades constituirán la base necesaria para resolver correctamente las actividades evaluables posteriores.</w:t>
      </w:r>
      <w:r w:rsidDel="00000000" w:rsidR="00000000" w:rsidRPr="00000000">
        <w:rPr>
          <w:rtl w:val="0"/>
        </w:rPr>
      </w:r>
    </w:p>
    <w:p w:rsidR="00000000" w:rsidDel="00000000" w:rsidP="00000000" w:rsidRDefault="00000000" w:rsidRPr="00000000" w14:paraId="00000022">
      <w:pPr>
        <w:pStyle w:val="Heading1"/>
        <w:numPr>
          <w:ilvl w:val="0"/>
          <w:numId w:val="3"/>
        </w:numPr>
        <w:ind w:left="432"/>
        <w:rPr/>
      </w:pPr>
      <w:bookmarkStart w:colFirst="0" w:colLast="0" w:name="_7kljffjw728v" w:id="5"/>
      <w:bookmarkEnd w:id="5"/>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6">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