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de interfaces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Guía didáctica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02.</w:t>
      </w:r>
      <w:r w:rsidDel="00000000" w:rsidR="00000000" w:rsidRPr="00000000">
        <w:rPr>
          <w:smallCaps w:val="1"/>
          <w:color w:val="336633"/>
          <w:sz w:val="32"/>
          <w:szCs w:val="32"/>
          <w:rtl w:val="0"/>
        </w:rPr>
        <w:t xml:space="preserve"> Fundamentos del diseño UI - UX</w:t>
      </w:r>
    </w:p>
    <w:p w:rsidR="00000000" w:rsidDel="00000000" w:rsidP="00000000" w:rsidRDefault="00000000" w:rsidRPr="00000000" w14:paraId="0000000E">
      <w:pPr>
        <w:pStyle w:val="Heading1"/>
        <w:numPr>
          <w:ilvl w:val="0"/>
          <w:numId w:val="3"/>
        </w:numPr>
        <w:spacing w:after="0" w:afterAutospacing="0"/>
        <w:ind w:left="432"/>
        <w:rPr>
          <w:u w:val="none"/>
        </w:rPr>
      </w:pPr>
      <w:bookmarkStart w:colFirst="0" w:colLast="0" w:name="_35ynxtfrmuvw" w:id="1"/>
      <w:bookmarkEnd w:id="1"/>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0F">
      <w:pPr>
        <w:numPr>
          <w:ilvl w:val="0"/>
          <w:numId w:val="2"/>
        </w:numPr>
        <w:spacing w:after="0" w:afterAutospacing="0" w:before="0" w:beforeAutospacing="0"/>
        <w:ind w:left="720" w:hanging="360"/>
        <w:rPr>
          <w:u w:val="none"/>
        </w:rPr>
      </w:pPr>
      <w:r w:rsidDel="00000000" w:rsidR="00000000" w:rsidRPr="00000000">
        <w:rPr>
          <w:rtl w:val="0"/>
        </w:rPr>
        <w:t xml:space="preserve">Conocimientos avanzados de programación.</w:t>
      </w:r>
      <w:r w:rsidDel="00000000" w:rsidR="00000000" w:rsidRPr="00000000">
        <w:rPr>
          <w:rtl w:val="0"/>
        </w:rPr>
      </w:r>
    </w:p>
    <w:p w:rsidR="00000000" w:rsidDel="00000000" w:rsidP="00000000" w:rsidRDefault="00000000" w:rsidRPr="00000000" w14:paraId="00000010">
      <w:pPr>
        <w:pStyle w:val="Heading1"/>
        <w:numPr>
          <w:ilvl w:val="0"/>
          <w:numId w:val="3"/>
        </w:numPr>
        <w:spacing w:after="0" w:afterAutospacing="0" w:before="0" w:beforeAutospacing="0"/>
        <w:ind w:left="432"/>
        <w:rPr>
          <w:u w:val="none"/>
        </w:rPr>
      </w:pPr>
      <w:bookmarkStart w:colFirst="0" w:colLast="0" w:name="_1w7nzw2o20ar" w:id="2"/>
      <w:bookmarkEnd w:id="2"/>
      <w:r w:rsidDel="00000000" w:rsidR="00000000" w:rsidRPr="00000000">
        <w:rPr>
          <w:rtl w:val="0"/>
        </w:rPr>
        <w:t xml:space="preserve"> Objetivos</w:t>
      </w:r>
    </w:p>
    <w:p w:rsidR="00000000" w:rsidDel="00000000" w:rsidP="00000000" w:rsidRDefault="00000000" w:rsidRPr="00000000" w14:paraId="00000011">
      <w:pPr>
        <w:numPr>
          <w:ilvl w:val="0"/>
          <w:numId w:val="6"/>
        </w:numPr>
        <w:spacing w:after="0" w:afterAutospacing="0" w:before="0" w:beforeAutospacing="0" w:lineRule="auto"/>
        <w:ind w:left="720" w:hanging="360"/>
        <w:jc w:val="left"/>
      </w:pPr>
      <w:r w:rsidDel="00000000" w:rsidR="00000000" w:rsidRPr="00000000">
        <w:rPr>
          <w:rtl w:val="0"/>
        </w:rPr>
        <w:t xml:space="preserve">Comprender la relación entre diseño de interfaces de usuario (UI) y experiencia de usuario (UX), valorando su complementariedad en el desarrollo de productos digitales.</w:t>
      </w:r>
    </w:p>
    <w:p w:rsidR="00000000" w:rsidDel="00000000" w:rsidP="00000000" w:rsidRDefault="00000000" w:rsidRPr="00000000" w14:paraId="00000012">
      <w:pPr>
        <w:numPr>
          <w:ilvl w:val="0"/>
          <w:numId w:val="4"/>
        </w:numPr>
        <w:spacing w:after="0" w:afterAutospacing="0" w:before="0" w:beforeAutospacing="0" w:lineRule="auto"/>
        <w:ind w:left="720" w:hanging="360"/>
        <w:jc w:val="left"/>
      </w:pPr>
      <w:r w:rsidDel="00000000" w:rsidR="00000000" w:rsidRPr="00000000">
        <w:rPr>
          <w:rtl w:val="0"/>
        </w:rPr>
        <w:t xml:space="preserve">Identificar y aplicar los principios fundamentales del diseño de interfaces gráficas para crear entornos usables y eficientes.</w:t>
      </w:r>
      <w:r w:rsidDel="00000000" w:rsidR="00000000" w:rsidRPr="00000000">
        <w:rPr>
          <w:rtl w:val="0"/>
        </w:rPr>
      </w:r>
    </w:p>
    <w:p w:rsidR="00000000" w:rsidDel="00000000" w:rsidP="00000000" w:rsidRDefault="00000000" w:rsidRPr="00000000" w14:paraId="00000013">
      <w:pPr>
        <w:numPr>
          <w:ilvl w:val="0"/>
          <w:numId w:val="7"/>
        </w:numPr>
        <w:spacing w:after="0" w:afterAutospacing="0" w:before="0" w:beforeAutospacing="0" w:lineRule="auto"/>
        <w:ind w:left="720" w:hanging="360"/>
        <w:jc w:val="left"/>
      </w:pPr>
      <w:r w:rsidDel="00000000" w:rsidR="00000000" w:rsidRPr="00000000">
        <w:rPr>
          <w:rtl w:val="0"/>
        </w:rPr>
        <w:t xml:space="preserve">Analizar cómo los aspectos emocionales influyen en la interacción con la interfaz y aplicarlos en un diseño más humano.</w:t>
      </w:r>
      <w:r w:rsidDel="00000000" w:rsidR="00000000" w:rsidRPr="00000000">
        <w:rPr>
          <w:rtl w:val="0"/>
        </w:rPr>
      </w:r>
    </w:p>
    <w:p w:rsidR="00000000" w:rsidDel="00000000" w:rsidP="00000000" w:rsidRDefault="00000000" w:rsidRPr="00000000" w14:paraId="00000014">
      <w:pPr>
        <w:numPr>
          <w:ilvl w:val="0"/>
          <w:numId w:val="10"/>
        </w:numPr>
        <w:spacing w:after="0" w:afterAutospacing="0" w:before="0" w:beforeAutospacing="0" w:lineRule="auto"/>
        <w:ind w:left="720" w:hanging="360"/>
        <w:jc w:val="left"/>
      </w:pPr>
      <w:r w:rsidDel="00000000" w:rsidR="00000000" w:rsidRPr="00000000">
        <w:rPr>
          <w:rtl w:val="0"/>
        </w:rPr>
        <w:t xml:space="preserve">Identificar modelos mentales de los usuarios para diseñar interfaces intuitivas que se adapten a sus expectativas.</w:t>
      </w:r>
    </w:p>
    <w:p w:rsidR="00000000" w:rsidDel="00000000" w:rsidP="00000000" w:rsidRDefault="00000000" w:rsidRPr="00000000" w14:paraId="00000015">
      <w:pPr>
        <w:numPr>
          <w:ilvl w:val="0"/>
          <w:numId w:val="1"/>
        </w:numPr>
        <w:spacing w:after="0" w:afterAutospacing="0" w:before="0" w:beforeAutospacing="0" w:lineRule="auto"/>
        <w:ind w:left="720" w:hanging="360"/>
        <w:jc w:val="left"/>
      </w:pPr>
      <w:r w:rsidDel="00000000" w:rsidR="00000000" w:rsidRPr="00000000">
        <w:rPr>
          <w:rtl w:val="0"/>
        </w:rPr>
        <w:t xml:space="preserve">Organizar los elementos visuales de la interfaz para guiar la atención del usuario y facilitar la interacción.</w:t>
      </w:r>
    </w:p>
    <w:p w:rsidR="00000000" w:rsidDel="00000000" w:rsidP="00000000" w:rsidRDefault="00000000" w:rsidRPr="00000000" w14:paraId="00000016">
      <w:pPr>
        <w:numPr>
          <w:ilvl w:val="0"/>
          <w:numId w:val="8"/>
        </w:numPr>
        <w:spacing w:after="0" w:afterAutospacing="0" w:before="0" w:beforeAutospacing="0" w:lineRule="auto"/>
        <w:ind w:left="720" w:hanging="360"/>
        <w:jc w:val="left"/>
      </w:pPr>
      <w:r w:rsidDel="00000000" w:rsidR="00000000" w:rsidRPr="00000000">
        <w:rPr>
          <w:rtl w:val="0"/>
        </w:rPr>
        <w:t xml:space="preserve">Planificar interfaces que se ajusten a las tareas y metas reales de los usuarios, optimizando su eficiencia y satisfacción.</w:t>
      </w:r>
      <w:r w:rsidDel="00000000" w:rsidR="00000000" w:rsidRPr="00000000">
        <w:rPr>
          <w:rtl w:val="0"/>
        </w:rPr>
      </w:r>
    </w:p>
    <w:p w:rsidR="00000000" w:rsidDel="00000000" w:rsidP="00000000" w:rsidRDefault="00000000" w:rsidRPr="00000000" w14:paraId="00000017">
      <w:pPr>
        <w:numPr>
          <w:ilvl w:val="0"/>
          <w:numId w:val="9"/>
        </w:numPr>
        <w:spacing w:after="0" w:afterAutospacing="0" w:before="0" w:beforeAutospacing="0" w:lineRule="auto"/>
        <w:ind w:left="720" w:hanging="360"/>
        <w:jc w:val="left"/>
      </w:pPr>
      <w:r w:rsidDel="00000000" w:rsidR="00000000" w:rsidRPr="00000000">
        <w:rPr>
          <w:rtl w:val="0"/>
        </w:rPr>
        <w:t xml:space="preserve">Diferenciar las funciones de la UI y la UX, comprendiendo su interdependencia en el diseño de productos digitales.</w:t>
      </w:r>
      <w:r w:rsidDel="00000000" w:rsidR="00000000" w:rsidRPr="00000000">
        <w:rPr>
          <w:rtl w:val="0"/>
        </w:rPr>
      </w:r>
    </w:p>
    <w:p w:rsidR="00000000" w:rsidDel="00000000" w:rsidP="00000000" w:rsidRDefault="00000000" w:rsidRPr="00000000" w14:paraId="00000018">
      <w:pPr>
        <w:pStyle w:val="Heading1"/>
        <w:numPr>
          <w:ilvl w:val="0"/>
          <w:numId w:val="3"/>
        </w:numPr>
        <w:spacing w:after="0" w:afterAutospacing="0" w:before="0" w:beforeAutospacing="0"/>
        <w:ind w:left="432"/>
        <w:rPr>
          <w:u w:val="none"/>
        </w:rPr>
      </w:pPr>
      <w:bookmarkStart w:colFirst="0" w:colLast="0" w:name="_u76wnfr4jev9" w:id="3"/>
      <w:bookmarkEnd w:id="3"/>
      <w:r w:rsidDel="00000000" w:rsidR="00000000" w:rsidRPr="00000000">
        <w:rPr>
          <w:rtl w:val="0"/>
        </w:rPr>
        <w:t xml:space="preserve">Contenidos</w:t>
      </w:r>
    </w:p>
    <w:p w:rsidR="00000000" w:rsidDel="00000000" w:rsidP="00000000" w:rsidRDefault="00000000" w:rsidRPr="00000000" w14:paraId="00000019">
      <w:pPr>
        <w:numPr>
          <w:ilvl w:val="0"/>
          <w:numId w:val="5"/>
        </w:numPr>
        <w:spacing w:after="0" w:afterAutospacing="0" w:before="0" w:beforeAutospacing="0"/>
        <w:ind w:left="720" w:hanging="360"/>
        <w:rPr/>
      </w:pPr>
      <w:r w:rsidDel="00000000" w:rsidR="00000000" w:rsidRPr="00000000">
        <w:rPr>
          <w:rtl w:val="0"/>
        </w:rPr>
        <w:t xml:space="preserve">Diseño UI/UX - Dos caras de una misma moneda</w:t>
      </w:r>
    </w:p>
    <w:p w:rsidR="00000000" w:rsidDel="00000000" w:rsidP="00000000" w:rsidRDefault="00000000" w:rsidRPr="00000000" w14:paraId="0000001A">
      <w:pPr>
        <w:numPr>
          <w:ilvl w:val="0"/>
          <w:numId w:val="5"/>
        </w:numPr>
        <w:spacing w:after="0" w:afterAutospacing="0" w:before="0" w:beforeAutospacing="0"/>
        <w:ind w:left="720" w:hanging="360"/>
        <w:rPr/>
      </w:pPr>
      <w:r w:rsidDel="00000000" w:rsidR="00000000" w:rsidRPr="00000000">
        <w:rPr>
          <w:rtl w:val="0"/>
        </w:rPr>
        <w:t xml:space="preserve">Principios de Diseño de Interfaces Gráficas</w:t>
      </w:r>
    </w:p>
    <w:p w:rsidR="00000000" w:rsidDel="00000000" w:rsidP="00000000" w:rsidRDefault="00000000" w:rsidRPr="00000000" w14:paraId="0000001B">
      <w:pPr>
        <w:numPr>
          <w:ilvl w:val="0"/>
          <w:numId w:val="5"/>
        </w:numPr>
        <w:spacing w:after="0" w:afterAutospacing="0" w:before="0" w:beforeAutospacing="0"/>
        <w:ind w:left="720" w:hanging="360"/>
        <w:rPr/>
      </w:pPr>
      <w:r w:rsidDel="00000000" w:rsidR="00000000" w:rsidRPr="00000000">
        <w:rPr>
          <w:rtl w:val="0"/>
        </w:rPr>
        <w:t xml:space="preserve">Arquitectura Emocional: Diseño Centrado en el Usuario</w:t>
      </w:r>
    </w:p>
    <w:p w:rsidR="00000000" w:rsidDel="00000000" w:rsidP="00000000" w:rsidRDefault="00000000" w:rsidRPr="00000000" w14:paraId="0000001C">
      <w:pPr>
        <w:numPr>
          <w:ilvl w:val="0"/>
          <w:numId w:val="5"/>
        </w:numPr>
        <w:spacing w:after="0" w:afterAutospacing="0" w:before="0" w:beforeAutospacing="0"/>
        <w:ind w:left="720" w:hanging="360"/>
        <w:rPr/>
      </w:pPr>
      <w:r w:rsidDel="00000000" w:rsidR="00000000" w:rsidRPr="00000000">
        <w:rPr>
          <w:rtl w:val="0"/>
        </w:rPr>
        <w:t xml:space="preserve">Modelos Mentales y Diseño Intuitivo: Hablar el Idioma del Usuario</w:t>
      </w:r>
    </w:p>
    <w:p w:rsidR="00000000" w:rsidDel="00000000" w:rsidP="00000000" w:rsidRDefault="00000000" w:rsidRPr="00000000" w14:paraId="0000001D">
      <w:pPr>
        <w:numPr>
          <w:ilvl w:val="0"/>
          <w:numId w:val="5"/>
        </w:numPr>
        <w:spacing w:after="0" w:afterAutospacing="0" w:before="0" w:beforeAutospacing="0"/>
        <w:ind w:left="720" w:hanging="360"/>
        <w:rPr/>
      </w:pPr>
      <w:r w:rsidDel="00000000" w:rsidR="00000000" w:rsidRPr="00000000">
        <w:rPr>
          <w:rtl w:val="0"/>
        </w:rPr>
        <w:t xml:space="preserve">Jerarquía Visual e Interacción: El arte de guiar la mirada</w:t>
      </w:r>
    </w:p>
    <w:p w:rsidR="00000000" w:rsidDel="00000000" w:rsidP="00000000" w:rsidRDefault="00000000" w:rsidRPr="00000000" w14:paraId="0000001E">
      <w:pPr>
        <w:numPr>
          <w:ilvl w:val="0"/>
          <w:numId w:val="5"/>
        </w:numPr>
        <w:spacing w:after="0" w:afterAutospacing="0" w:before="0" w:beforeAutospacing="0"/>
        <w:ind w:left="720" w:hanging="360"/>
        <w:rPr>
          <w:b w:val="1"/>
        </w:rPr>
      </w:pPr>
      <w:r w:rsidDel="00000000" w:rsidR="00000000" w:rsidRPr="00000000">
        <w:rPr>
          <w:rtl w:val="0"/>
        </w:rPr>
        <w:t xml:space="preserve">Diseño Centrado en Tareas y Objetivos del Usuario</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1F">
      <w:pPr>
        <w:pStyle w:val="Heading1"/>
        <w:numPr>
          <w:ilvl w:val="0"/>
          <w:numId w:val="3"/>
        </w:numPr>
        <w:spacing w:before="0" w:beforeAutospacing="0"/>
        <w:ind w:left="432"/>
        <w:rPr>
          <w:u w:val="none"/>
        </w:rPr>
      </w:pPr>
      <w:bookmarkStart w:colFirst="0" w:colLast="0" w:name="_a1okclatiswm" w:id="4"/>
      <w:bookmarkEnd w:id="4"/>
      <w:r w:rsidDel="00000000" w:rsidR="00000000" w:rsidRPr="00000000">
        <w:rPr>
          <w:rtl w:val="0"/>
        </w:rPr>
        <w:t xml:space="preserve">Actividades</w:t>
      </w:r>
    </w:p>
    <w:p w:rsidR="00000000" w:rsidDel="00000000" w:rsidP="00000000" w:rsidRDefault="00000000" w:rsidRPr="00000000" w14:paraId="00000020">
      <w:pPr>
        <w:rPr/>
      </w:pPr>
      <w:r w:rsidDel="00000000" w:rsidR="00000000" w:rsidRPr="00000000">
        <w:rPr>
          <w:rtl w:val="0"/>
        </w:rPr>
        <w:t xml:space="preserve">Esta unidad no se estudia de forma aislada, sino integrada en un bloque junto con las seis primeras unidades del módulo. Al finalizar la sexta unidad, se propondrán actividades de carácter no evaluable que engloban los contenidos trabajados en todo el bloque. La realización de dichas actividades será fundamental para afianzar los conocimientos, ya que los aprendizajes adquiridos en estas unidades constituirán la base necesaria para resolver correctamente las actividades evaluables posteriores.</w:t>
      </w:r>
      <w:r w:rsidDel="00000000" w:rsidR="00000000" w:rsidRPr="00000000">
        <w:rPr>
          <w:rtl w:val="0"/>
        </w:rPr>
      </w:r>
    </w:p>
    <w:p w:rsidR="00000000" w:rsidDel="00000000" w:rsidP="00000000" w:rsidRDefault="00000000" w:rsidRPr="00000000" w14:paraId="00000021">
      <w:pPr>
        <w:pStyle w:val="Heading1"/>
        <w:numPr>
          <w:ilvl w:val="0"/>
          <w:numId w:val="3"/>
        </w:numPr>
        <w:ind w:left="432"/>
        <w:rPr/>
      </w:pPr>
      <w:bookmarkStart w:colFirst="0" w:colLast="0" w:name="_7kljffjw728v" w:id="5"/>
      <w:bookmarkEnd w:id="5"/>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Si se acude a las TC (Tutorías Colectivas), las cuales no son obligatorias, es imprescindible haber estudiado el tema previamente en casa.</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02. Guía didáctica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