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04.</w:t>
      </w:r>
      <w:r w:rsidDel="00000000" w:rsidR="00000000" w:rsidRPr="00000000">
        <w:rPr>
          <w:smallCaps w:val="1"/>
          <w:color w:val="336633"/>
          <w:sz w:val="32"/>
          <w:szCs w:val="32"/>
          <w:rtl w:val="0"/>
        </w:rPr>
        <w:t xml:space="preserve"> Diseño de Interfaz de Usuario - Colores, Tipografía y Layout</w:t>
      </w:r>
    </w:p>
    <w:p w:rsidR="00000000" w:rsidDel="00000000" w:rsidP="00000000" w:rsidRDefault="00000000" w:rsidRPr="00000000" w14:paraId="0000000E">
      <w:pPr>
        <w:pStyle w:val="Heading1"/>
        <w:numPr>
          <w:ilvl w:val="0"/>
          <w:numId w:val="2"/>
        </w:numPr>
        <w:spacing w:after="0" w:afterAutospacing="0"/>
        <w:ind w:left="432"/>
        <w:rPr>
          <w:u w:val="none"/>
        </w:rPr>
      </w:pPr>
      <w:bookmarkStart w:colFirst="0" w:colLast="0" w:name="_35ynxtfrmuvw" w:id="1"/>
      <w:bookmarkEnd w:id="1"/>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Conocimientos avanzados de programación.</w:t>
      </w:r>
      <w:r w:rsidDel="00000000" w:rsidR="00000000" w:rsidRPr="00000000">
        <w:rPr>
          <w:rtl w:val="0"/>
        </w:rPr>
      </w:r>
    </w:p>
    <w:p w:rsidR="00000000" w:rsidDel="00000000" w:rsidP="00000000" w:rsidRDefault="00000000" w:rsidRPr="00000000" w14:paraId="00000010">
      <w:pPr>
        <w:pStyle w:val="Heading1"/>
        <w:numPr>
          <w:ilvl w:val="0"/>
          <w:numId w:val="2"/>
        </w:numPr>
        <w:spacing w:after="0" w:afterAutospacing="0" w:before="0" w:beforeAutospacing="0"/>
        <w:ind w:left="432"/>
        <w:rPr>
          <w:u w:val="none"/>
        </w:rPr>
      </w:pPr>
      <w:bookmarkStart w:colFirst="0" w:colLast="0" w:name="_1w7nzw2o20ar" w:id="2"/>
      <w:bookmarkEnd w:id="2"/>
      <w:r w:rsidDel="00000000" w:rsidR="00000000" w:rsidRPr="00000000">
        <w:rPr>
          <w:rtl w:val="0"/>
        </w:rPr>
        <w:t xml:space="preserve"> Objetivos</w:t>
      </w:r>
      <w:r w:rsidDel="00000000" w:rsidR="00000000" w:rsidRPr="00000000">
        <w:rPr>
          <w:rtl w:val="0"/>
        </w:rPr>
      </w:r>
    </w:p>
    <w:p w:rsidR="00000000" w:rsidDel="00000000" w:rsidP="00000000" w:rsidRDefault="00000000" w:rsidRPr="00000000" w14:paraId="00000011">
      <w:pPr>
        <w:numPr>
          <w:ilvl w:val="0"/>
          <w:numId w:val="3"/>
        </w:numPr>
        <w:spacing w:after="0" w:afterAutospacing="0" w:before="0" w:beforeAutospacing="0" w:lineRule="auto"/>
        <w:ind w:left="720" w:hanging="360"/>
        <w:jc w:val="left"/>
      </w:pPr>
      <w:r w:rsidDel="00000000" w:rsidR="00000000" w:rsidRPr="00000000">
        <w:rPr>
          <w:rtl w:val="0"/>
        </w:rPr>
        <w:t xml:space="preserve">Comprender los fundamentos del diseño de interfaz de usuario y su papel en la interacción hombre-máquina.</w:t>
      </w:r>
    </w:p>
    <w:p w:rsidR="00000000" w:rsidDel="00000000" w:rsidP="00000000" w:rsidRDefault="00000000" w:rsidRPr="00000000" w14:paraId="00000012">
      <w:pPr>
        <w:numPr>
          <w:ilvl w:val="0"/>
          <w:numId w:val="3"/>
        </w:numPr>
        <w:spacing w:after="0" w:afterAutospacing="0" w:before="0" w:beforeAutospacing="0" w:lineRule="auto"/>
        <w:ind w:left="720" w:hanging="360"/>
        <w:jc w:val="left"/>
      </w:pPr>
      <w:r w:rsidDel="00000000" w:rsidR="00000000" w:rsidRPr="00000000">
        <w:rPr>
          <w:rtl w:val="0"/>
        </w:rPr>
        <w:t xml:space="preserve">Identificar los elementos principales que conforman una interfaz de usuario eficaz.</w:t>
      </w:r>
    </w:p>
    <w:p w:rsidR="00000000" w:rsidDel="00000000" w:rsidP="00000000" w:rsidRDefault="00000000" w:rsidRPr="00000000" w14:paraId="00000013">
      <w:pPr>
        <w:numPr>
          <w:ilvl w:val="0"/>
          <w:numId w:val="7"/>
        </w:numPr>
        <w:spacing w:after="0" w:afterAutospacing="0" w:before="0" w:beforeAutospacing="0" w:lineRule="auto"/>
        <w:ind w:left="720" w:hanging="360"/>
        <w:jc w:val="left"/>
      </w:pPr>
      <w:r w:rsidDel="00000000" w:rsidR="00000000" w:rsidRPr="00000000">
        <w:rPr>
          <w:rtl w:val="0"/>
        </w:rPr>
        <w:t xml:space="preserve">Aplicar criterios de selección y uso del color en el diseño de interfaces para transmitir mensajes claros y mejorar la usabilidad.</w:t>
      </w:r>
    </w:p>
    <w:p w:rsidR="00000000" w:rsidDel="00000000" w:rsidP="00000000" w:rsidRDefault="00000000" w:rsidRPr="00000000" w14:paraId="00000014">
      <w:pPr>
        <w:numPr>
          <w:ilvl w:val="0"/>
          <w:numId w:val="4"/>
        </w:numPr>
        <w:spacing w:after="0" w:afterAutospacing="0" w:before="0" w:beforeAutospacing="0" w:lineRule="auto"/>
        <w:ind w:left="720" w:hanging="360"/>
        <w:jc w:val="left"/>
      </w:pPr>
      <w:r w:rsidDel="00000000" w:rsidR="00000000" w:rsidRPr="00000000">
        <w:rPr>
          <w:rtl w:val="0"/>
        </w:rPr>
        <w:t xml:space="preserve">Emplear la tipografía como recurso de comunicación y diseño en interfaces digitales.</w:t>
      </w:r>
    </w:p>
    <w:p w:rsidR="00000000" w:rsidDel="00000000" w:rsidP="00000000" w:rsidRDefault="00000000" w:rsidRPr="00000000" w14:paraId="00000015">
      <w:pPr>
        <w:numPr>
          <w:ilvl w:val="0"/>
          <w:numId w:val="4"/>
        </w:numPr>
        <w:spacing w:after="0" w:afterAutospacing="0" w:before="0" w:beforeAutospacing="0" w:lineRule="auto"/>
        <w:ind w:left="720" w:hanging="360"/>
        <w:jc w:val="left"/>
      </w:pPr>
      <w:r w:rsidDel="00000000" w:rsidR="00000000" w:rsidRPr="00000000">
        <w:rPr>
          <w:rtl w:val="0"/>
        </w:rPr>
        <w:t xml:space="preserve">Organizar los elementos de una interfaz siguiendo principios de diseño que favorezcan la usabilidad.</w:t>
      </w:r>
    </w:p>
    <w:p w:rsidR="00000000" w:rsidDel="00000000" w:rsidP="00000000" w:rsidRDefault="00000000" w:rsidRPr="00000000" w14:paraId="00000016">
      <w:pPr>
        <w:numPr>
          <w:ilvl w:val="0"/>
          <w:numId w:val="4"/>
        </w:numPr>
        <w:spacing w:after="0" w:afterAutospacing="0" w:before="0" w:beforeAutospacing="0" w:lineRule="auto"/>
        <w:ind w:left="720" w:hanging="360"/>
        <w:jc w:val="left"/>
      </w:pPr>
      <w:r w:rsidDel="00000000" w:rsidR="00000000" w:rsidRPr="00000000">
        <w:rPr>
          <w:rtl w:val="0"/>
        </w:rPr>
        <w:t xml:space="preserve">Reconocer y aplicar patrones de distribución habituales en el diseño de interfaces.</w:t>
      </w:r>
      <w:r w:rsidDel="00000000" w:rsidR="00000000" w:rsidRPr="00000000">
        <w:rPr>
          <w:rtl w:val="0"/>
        </w:rPr>
      </w:r>
    </w:p>
    <w:p w:rsidR="00000000" w:rsidDel="00000000" w:rsidP="00000000" w:rsidRDefault="00000000" w:rsidRPr="00000000" w14:paraId="00000017">
      <w:pPr>
        <w:numPr>
          <w:ilvl w:val="0"/>
          <w:numId w:val="6"/>
        </w:numPr>
        <w:spacing w:after="0" w:afterAutospacing="0" w:before="0" w:beforeAutospacing="0" w:lineRule="auto"/>
        <w:ind w:left="720" w:hanging="360"/>
        <w:jc w:val="left"/>
      </w:pPr>
      <w:r w:rsidDel="00000000" w:rsidR="00000000" w:rsidRPr="00000000">
        <w:rPr>
          <w:rtl w:val="0"/>
        </w:rPr>
        <w:t xml:space="preserve">Adaptar interfaces a distintos dispositivos y resoluciones, aplicando enfoques responsive y mobile-first.</w:t>
      </w:r>
      <w:r w:rsidDel="00000000" w:rsidR="00000000" w:rsidRPr="00000000">
        <w:rPr>
          <w:rtl w:val="0"/>
        </w:rPr>
      </w:r>
    </w:p>
    <w:p w:rsidR="00000000" w:rsidDel="00000000" w:rsidP="00000000" w:rsidRDefault="00000000" w:rsidRPr="00000000" w14:paraId="00000018">
      <w:pPr>
        <w:pStyle w:val="Heading1"/>
        <w:numPr>
          <w:ilvl w:val="0"/>
          <w:numId w:val="2"/>
        </w:numPr>
        <w:spacing w:after="0" w:afterAutospacing="0" w:before="0" w:beforeAutospacing="0"/>
        <w:ind w:left="432"/>
        <w:rPr>
          <w:u w:val="none"/>
        </w:rPr>
      </w:pPr>
      <w:bookmarkStart w:colFirst="0" w:colLast="0" w:name="_u76wnfr4jev9" w:id="3"/>
      <w:bookmarkEnd w:id="3"/>
      <w:r w:rsidDel="00000000" w:rsidR="00000000" w:rsidRPr="00000000">
        <w:rPr>
          <w:rtl w:val="0"/>
        </w:rPr>
        <w:t xml:space="preserve">Contenidos</w:t>
      </w:r>
    </w:p>
    <w:p w:rsidR="00000000" w:rsidDel="00000000" w:rsidP="00000000" w:rsidRDefault="00000000" w:rsidRPr="00000000" w14:paraId="00000019">
      <w:pPr>
        <w:numPr>
          <w:ilvl w:val="0"/>
          <w:numId w:val="5"/>
        </w:numPr>
        <w:spacing w:after="0" w:afterAutospacing="0" w:before="0" w:beforeAutospacing="0" w:lineRule="auto"/>
        <w:ind w:left="720" w:hanging="360"/>
        <w:jc w:val="left"/>
        <w:rPr/>
      </w:pPr>
      <w:r w:rsidDel="00000000" w:rsidR="00000000" w:rsidRPr="00000000">
        <w:rPr>
          <w:rtl w:val="0"/>
        </w:rPr>
        <w:t xml:space="preserve">Introducción al Diseño de Interfaz de Usuario (UI)</w:t>
      </w:r>
    </w:p>
    <w:p w:rsidR="00000000" w:rsidDel="00000000" w:rsidP="00000000" w:rsidRDefault="00000000" w:rsidRPr="00000000" w14:paraId="0000001A">
      <w:pPr>
        <w:numPr>
          <w:ilvl w:val="0"/>
          <w:numId w:val="5"/>
        </w:numPr>
        <w:spacing w:after="0" w:afterAutospacing="0" w:before="0" w:beforeAutospacing="0" w:lineRule="auto"/>
        <w:ind w:left="720" w:hanging="360"/>
        <w:jc w:val="left"/>
        <w:rPr/>
      </w:pPr>
      <w:r w:rsidDel="00000000" w:rsidR="00000000" w:rsidRPr="00000000">
        <w:rPr>
          <w:rtl w:val="0"/>
        </w:rPr>
        <w:t xml:space="preserve">Elementos Clave del Diseño UI</w:t>
      </w:r>
    </w:p>
    <w:p w:rsidR="00000000" w:rsidDel="00000000" w:rsidP="00000000" w:rsidRDefault="00000000" w:rsidRPr="00000000" w14:paraId="0000001B">
      <w:pPr>
        <w:numPr>
          <w:ilvl w:val="0"/>
          <w:numId w:val="5"/>
        </w:numPr>
        <w:spacing w:after="0" w:afterAutospacing="0" w:before="0" w:beforeAutospacing="0" w:lineRule="auto"/>
        <w:ind w:left="720" w:hanging="360"/>
        <w:jc w:val="left"/>
        <w:rPr/>
      </w:pPr>
      <w:r w:rsidDel="00000000" w:rsidR="00000000" w:rsidRPr="00000000">
        <w:rPr>
          <w:rtl w:val="0"/>
        </w:rPr>
        <w:t xml:space="preserve">El Color en el Diseño UI</w:t>
      </w:r>
    </w:p>
    <w:p w:rsidR="00000000" w:rsidDel="00000000" w:rsidP="00000000" w:rsidRDefault="00000000" w:rsidRPr="00000000" w14:paraId="0000001C">
      <w:pPr>
        <w:numPr>
          <w:ilvl w:val="0"/>
          <w:numId w:val="5"/>
        </w:numPr>
        <w:spacing w:after="0" w:afterAutospacing="0" w:before="0" w:beforeAutospacing="0" w:lineRule="auto"/>
        <w:ind w:left="720" w:hanging="360"/>
        <w:jc w:val="left"/>
        <w:rPr/>
      </w:pPr>
      <w:r w:rsidDel="00000000" w:rsidR="00000000" w:rsidRPr="00000000">
        <w:rPr>
          <w:rtl w:val="0"/>
        </w:rPr>
        <w:t xml:space="preserve">Tipografía en Interfaces</w:t>
      </w:r>
    </w:p>
    <w:p w:rsidR="00000000" w:rsidDel="00000000" w:rsidP="00000000" w:rsidRDefault="00000000" w:rsidRPr="00000000" w14:paraId="0000001D">
      <w:pPr>
        <w:numPr>
          <w:ilvl w:val="0"/>
          <w:numId w:val="5"/>
        </w:numPr>
        <w:spacing w:after="0" w:afterAutospacing="0" w:before="0" w:beforeAutospacing="0" w:lineRule="auto"/>
        <w:ind w:left="720" w:hanging="360"/>
        <w:jc w:val="left"/>
        <w:rPr/>
      </w:pPr>
      <w:r w:rsidDel="00000000" w:rsidR="00000000" w:rsidRPr="00000000">
        <w:rPr>
          <w:rtl w:val="0"/>
        </w:rPr>
        <w:t xml:space="preserve">Distribución Visual (Layout)</w:t>
      </w:r>
    </w:p>
    <w:p w:rsidR="00000000" w:rsidDel="00000000" w:rsidP="00000000" w:rsidRDefault="00000000" w:rsidRPr="00000000" w14:paraId="0000001E">
      <w:pPr>
        <w:numPr>
          <w:ilvl w:val="0"/>
          <w:numId w:val="5"/>
        </w:numPr>
        <w:spacing w:after="0" w:afterAutospacing="0" w:before="0" w:beforeAutospacing="0" w:lineRule="auto"/>
        <w:ind w:left="720" w:hanging="360"/>
        <w:jc w:val="left"/>
      </w:pPr>
      <w:r w:rsidDel="00000000" w:rsidR="00000000" w:rsidRPr="00000000">
        <w:rPr>
          <w:rtl w:val="0"/>
        </w:rPr>
        <w:t xml:space="preserve">Diseño Responsive y Mobile-First</w:t>
      </w:r>
      <w:r w:rsidDel="00000000" w:rsidR="00000000" w:rsidRPr="00000000">
        <w:rPr>
          <w:rtl w:val="0"/>
        </w:rPr>
      </w:r>
    </w:p>
    <w:p w:rsidR="00000000" w:rsidDel="00000000" w:rsidP="00000000" w:rsidRDefault="00000000" w:rsidRPr="00000000" w14:paraId="0000001F">
      <w:pPr>
        <w:pStyle w:val="Heading1"/>
        <w:numPr>
          <w:ilvl w:val="0"/>
          <w:numId w:val="2"/>
        </w:numPr>
        <w:spacing w:before="0" w:beforeAutospacing="0"/>
        <w:ind w:left="432"/>
        <w:rPr>
          <w:u w:val="none"/>
        </w:rPr>
      </w:pPr>
      <w:bookmarkStart w:colFirst="0" w:colLast="0" w:name="_a1okclatiswm" w:id="4"/>
      <w:bookmarkEnd w:id="4"/>
      <w:r w:rsidDel="00000000" w:rsidR="00000000" w:rsidRPr="00000000">
        <w:rPr>
          <w:rtl w:val="0"/>
        </w:rPr>
        <w:t xml:space="preserve">Actividades</w:t>
      </w:r>
    </w:p>
    <w:p w:rsidR="00000000" w:rsidDel="00000000" w:rsidP="00000000" w:rsidRDefault="00000000" w:rsidRPr="00000000" w14:paraId="00000020">
      <w:pPr>
        <w:rPr/>
      </w:pPr>
      <w:r w:rsidDel="00000000" w:rsidR="00000000" w:rsidRPr="00000000">
        <w:rPr>
          <w:rtl w:val="0"/>
        </w:rPr>
        <w:t xml:space="preserve">Esta unidad no se estudia de forma aislada, sino integrada en un bloque junto con las seis primeras unidades del módulo. Al finalizar la sexta unidad, se propondrán actividades de carácter no evaluable que engloban los contenidos trabajados en todo el bloque. La realización de dichas actividades será fundamental para afianzar los conocimientos, ya que los aprendizajes adquiridos en estas unidades constituirán la base necesaria para resolver correctamente las actividades evaluables posteriores.</w:t>
      </w:r>
      <w:r w:rsidDel="00000000" w:rsidR="00000000" w:rsidRPr="00000000">
        <w:rPr>
          <w:rtl w:val="0"/>
        </w:rPr>
      </w:r>
    </w:p>
    <w:p w:rsidR="00000000" w:rsidDel="00000000" w:rsidP="00000000" w:rsidRDefault="00000000" w:rsidRPr="00000000" w14:paraId="00000021">
      <w:pPr>
        <w:pStyle w:val="Heading1"/>
        <w:numPr>
          <w:ilvl w:val="0"/>
          <w:numId w:val="2"/>
        </w:numPr>
        <w:ind w:left="432"/>
        <w:rPr/>
      </w:pPr>
      <w:bookmarkStart w:colFirst="0" w:colLast="0" w:name="_7kljffjw728v" w:id="5"/>
      <w:bookmarkEnd w:id="5"/>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04.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