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Desarrollo de interfaces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Guía didáctica</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3.png"/>
            <a:graphic>
              <a:graphicData uri="http://schemas.openxmlformats.org/drawingml/2006/picture">
                <pic:pic>
                  <pic:nvPicPr>
                    <pic:cNvPr descr="short line"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2025</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Unidad 06.</w:t>
      </w:r>
      <w:r w:rsidDel="00000000" w:rsidR="00000000" w:rsidRPr="00000000">
        <w:rPr>
          <w:smallCaps w:val="1"/>
          <w:color w:val="336633"/>
          <w:sz w:val="32"/>
          <w:szCs w:val="32"/>
          <w:rtl w:val="0"/>
        </w:rPr>
        <w:t xml:space="preserve"> Arquitectura de la Información, Wireframes y Prototipado</w:t>
      </w:r>
    </w:p>
    <w:p w:rsidR="00000000" w:rsidDel="00000000" w:rsidP="00000000" w:rsidRDefault="00000000" w:rsidRPr="00000000" w14:paraId="0000000E">
      <w:pPr>
        <w:pStyle w:val="Heading1"/>
        <w:numPr>
          <w:ilvl w:val="0"/>
          <w:numId w:val="4"/>
        </w:numPr>
        <w:spacing w:after="0" w:afterAutospacing="0"/>
        <w:ind w:left="432"/>
        <w:rPr>
          <w:u w:val="none"/>
        </w:rPr>
      </w:pPr>
      <w:bookmarkStart w:colFirst="0" w:colLast="0" w:name="_35ynxtfrmuvw" w:id="1"/>
      <w:bookmarkEnd w:id="1"/>
      <w:r w:rsidDel="00000000" w:rsidR="00000000" w:rsidRPr="00000000">
        <w:rPr>
          <w:rtl w:val="0"/>
        </w:rPr>
        <w:t xml:space="preserve">Conocimientos previos</w:t>
      </w:r>
      <w:r w:rsidDel="00000000" w:rsidR="00000000" w:rsidRPr="00000000">
        <w:rPr>
          <w:rtl w:val="0"/>
        </w:rPr>
      </w:r>
    </w:p>
    <w:p w:rsidR="00000000" w:rsidDel="00000000" w:rsidP="00000000" w:rsidRDefault="00000000" w:rsidRPr="00000000" w14:paraId="0000000F">
      <w:pPr>
        <w:numPr>
          <w:ilvl w:val="0"/>
          <w:numId w:val="1"/>
        </w:numPr>
        <w:spacing w:after="0" w:afterAutospacing="0" w:before="0" w:beforeAutospacing="0"/>
        <w:ind w:left="720" w:hanging="360"/>
        <w:rPr>
          <w:u w:val="none"/>
        </w:rPr>
      </w:pPr>
      <w:r w:rsidDel="00000000" w:rsidR="00000000" w:rsidRPr="00000000">
        <w:rPr>
          <w:rtl w:val="0"/>
        </w:rPr>
        <w:t xml:space="preserve">Conocimientos avanzados de programación.</w:t>
      </w:r>
      <w:r w:rsidDel="00000000" w:rsidR="00000000" w:rsidRPr="00000000">
        <w:rPr>
          <w:rtl w:val="0"/>
        </w:rPr>
      </w:r>
    </w:p>
    <w:p w:rsidR="00000000" w:rsidDel="00000000" w:rsidP="00000000" w:rsidRDefault="00000000" w:rsidRPr="00000000" w14:paraId="00000010">
      <w:pPr>
        <w:pStyle w:val="Heading1"/>
        <w:numPr>
          <w:ilvl w:val="0"/>
          <w:numId w:val="4"/>
        </w:numPr>
        <w:spacing w:after="0" w:afterAutospacing="0" w:before="0" w:beforeAutospacing="0"/>
        <w:ind w:left="432"/>
        <w:rPr>
          <w:u w:val="none"/>
        </w:rPr>
      </w:pPr>
      <w:bookmarkStart w:colFirst="0" w:colLast="0" w:name="_1w7nzw2o20ar" w:id="2"/>
      <w:bookmarkEnd w:id="2"/>
      <w:r w:rsidDel="00000000" w:rsidR="00000000" w:rsidRPr="00000000">
        <w:rPr>
          <w:rtl w:val="0"/>
        </w:rPr>
        <w:t xml:space="preserve"> Objetivos</w:t>
      </w:r>
      <w:r w:rsidDel="00000000" w:rsidR="00000000" w:rsidRPr="00000000">
        <w:rPr>
          <w:rtl w:val="0"/>
        </w:rPr>
      </w:r>
    </w:p>
    <w:p w:rsidR="00000000" w:rsidDel="00000000" w:rsidP="00000000" w:rsidRDefault="00000000" w:rsidRPr="00000000" w14:paraId="00000011">
      <w:pPr>
        <w:numPr>
          <w:ilvl w:val="0"/>
          <w:numId w:val="7"/>
        </w:numPr>
        <w:spacing w:after="0" w:afterAutospacing="0" w:before="0" w:beforeAutospacing="0" w:lineRule="auto"/>
        <w:ind w:left="720" w:hanging="360"/>
        <w:jc w:val="left"/>
      </w:pPr>
      <w:r w:rsidDel="00000000" w:rsidR="00000000" w:rsidRPr="00000000">
        <w:rPr>
          <w:rtl w:val="0"/>
        </w:rPr>
        <w:t xml:space="preserve">Comprender el concepto de Arquitectura de la Información y su importancia en la organización y presentación de contenidos en interfaces digitales.</w:t>
      </w:r>
    </w:p>
    <w:p w:rsidR="00000000" w:rsidDel="00000000" w:rsidP="00000000" w:rsidRDefault="00000000" w:rsidRPr="00000000" w14:paraId="00000012">
      <w:pPr>
        <w:numPr>
          <w:ilvl w:val="0"/>
          <w:numId w:val="7"/>
        </w:numPr>
        <w:spacing w:after="0" w:afterAutospacing="0" w:before="0" w:beforeAutospacing="0" w:lineRule="auto"/>
        <w:ind w:left="720" w:hanging="360"/>
        <w:jc w:val="left"/>
      </w:pPr>
      <w:r w:rsidDel="00000000" w:rsidR="00000000" w:rsidRPr="00000000">
        <w:rPr>
          <w:rtl w:val="0"/>
        </w:rPr>
        <w:t xml:space="preserve">Diseñar mapas de navegación y flujos de usuarios que faciliten la interacción eficiente y coherente con la interfaz.</w:t>
      </w:r>
    </w:p>
    <w:p w:rsidR="00000000" w:rsidDel="00000000" w:rsidP="00000000" w:rsidRDefault="00000000" w:rsidRPr="00000000" w14:paraId="00000013">
      <w:pPr>
        <w:numPr>
          <w:ilvl w:val="0"/>
          <w:numId w:val="5"/>
        </w:numPr>
        <w:spacing w:after="0" w:afterAutospacing="0" w:before="0" w:beforeAutospacing="0" w:lineRule="auto"/>
        <w:ind w:left="720" w:hanging="360"/>
        <w:jc w:val="left"/>
      </w:pPr>
      <w:r w:rsidDel="00000000" w:rsidR="00000000" w:rsidRPr="00000000">
        <w:rPr>
          <w:rtl w:val="0"/>
        </w:rPr>
        <w:t xml:space="preserve">Definir el concepto de wireframe y comprender su papel en la planificación visual de interfaces.</w:t>
      </w:r>
    </w:p>
    <w:p w:rsidR="00000000" w:rsidDel="00000000" w:rsidP="00000000" w:rsidRDefault="00000000" w:rsidRPr="00000000" w14:paraId="00000014">
      <w:pPr>
        <w:numPr>
          <w:ilvl w:val="0"/>
          <w:numId w:val="3"/>
        </w:numPr>
        <w:spacing w:after="0" w:afterAutospacing="0" w:before="0" w:beforeAutospacing="0" w:lineRule="auto"/>
        <w:ind w:left="720" w:hanging="360"/>
        <w:jc w:val="left"/>
      </w:pPr>
      <w:r w:rsidDel="00000000" w:rsidR="00000000" w:rsidRPr="00000000">
        <w:rPr>
          <w:rtl w:val="0"/>
        </w:rPr>
        <w:t xml:space="preserve">Transformar wireframes en prototipos funcionales que permitan probar y validar la interacción con el usuario.</w:t>
      </w:r>
    </w:p>
    <w:p w:rsidR="00000000" w:rsidDel="00000000" w:rsidP="00000000" w:rsidRDefault="00000000" w:rsidRPr="00000000" w14:paraId="00000015">
      <w:pPr>
        <w:numPr>
          <w:ilvl w:val="0"/>
          <w:numId w:val="2"/>
        </w:numPr>
        <w:spacing w:after="0" w:afterAutospacing="0" w:before="0" w:beforeAutospacing="0" w:lineRule="auto"/>
        <w:ind w:left="720" w:hanging="360"/>
        <w:jc w:val="left"/>
      </w:pPr>
      <w:r w:rsidDel="00000000" w:rsidR="00000000" w:rsidRPr="00000000">
        <w:rPr>
          <w:rtl w:val="0"/>
        </w:rPr>
        <w:t xml:space="preserve">Aplicar buenas prácticas en el prototipado para asegurar que los diseños sean comprensibles, interactivos y evaluables por los usuarios.</w:t>
      </w:r>
      <w:r w:rsidDel="00000000" w:rsidR="00000000" w:rsidRPr="00000000">
        <w:rPr>
          <w:rtl w:val="0"/>
        </w:rPr>
      </w:r>
    </w:p>
    <w:p w:rsidR="00000000" w:rsidDel="00000000" w:rsidP="00000000" w:rsidRDefault="00000000" w:rsidRPr="00000000" w14:paraId="00000016">
      <w:pPr>
        <w:pStyle w:val="Heading1"/>
        <w:numPr>
          <w:ilvl w:val="0"/>
          <w:numId w:val="4"/>
        </w:numPr>
        <w:spacing w:after="0" w:afterAutospacing="0" w:before="0" w:beforeAutospacing="0"/>
        <w:ind w:left="432"/>
        <w:rPr>
          <w:u w:val="none"/>
        </w:rPr>
      </w:pPr>
      <w:bookmarkStart w:colFirst="0" w:colLast="0" w:name="_u76wnfr4jev9" w:id="3"/>
      <w:bookmarkEnd w:id="3"/>
      <w:r w:rsidDel="00000000" w:rsidR="00000000" w:rsidRPr="00000000">
        <w:rPr>
          <w:rtl w:val="0"/>
        </w:rPr>
        <w:t xml:space="preserve">Contenidos</w:t>
      </w:r>
    </w:p>
    <w:p w:rsidR="00000000" w:rsidDel="00000000" w:rsidP="00000000" w:rsidRDefault="00000000" w:rsidRPr="00000000" w14:paraId="00000017">
      <w:pPr>
        <w:numPr>
          <w:ilvl w:val="0"/>
          <w:numId w:val="6"/>
        </w:numPr>
        <w:spacing w:after="0" w:afterAutospacing="0" w:before="0" w:beforeAutospacing="0" w:lineRule="auto"/>
        <w:ind w:left="720" w:hanging="360"/>
        <w:jc w:val="left"/>
        <w:rPr>
          <w:rFonts w:ascii="Arial" w:cs="Arial" w:eastAsia="Arial" w:hAnsi="Arial"/>
          <w:sz w:val="22"/>
          <w:szCs w:val="22"/>
        </w:rPr>
      </w:pPr>
      <w:r w:rsidDel="00000000" w:rsidR="00000000" w:rsidRPr="00000000">
        <w:rPr>
          <w:rtl w:val="0"/>
        </w:rPr>
        <w:t xml:space="preserve">Arquitectura de la Información (AI)</w:t>
      </w:r>
    </w:p>
    <w:p w:rsidR="00000000" w:rsidDel="00000000" w:rsidP="00000000" w:rsidRDefault="00000000" w:rsidRPr="00000000" w14:paraId="00000018">
      <w:pPr>
        <w:numPr>
          <w:ilvl w:val="0"/>
          <w:numId w:val="6"/>
        </w:numPr>
        <w:spacing w:after="0" w:afterAutospacing="0" w:before="0" w:beforeAutospacing="0" w:lineRule="auto"/>
        <w:ind w:left="720" w:hanging="360"/>
        <w:jc w:val="left"/>
        <w:rPr/>
      </w:pPr>
      <w:r w:rsidDel="00000000" w:rsidR="00000000" w:rsidRPr="00000000">
        <w:rPr>
          <w:rtl w:val="0"/>
        </w:rPr>
        <w:t xml:space="preserve">Mapas de navegación y flujos de usuarios</w:t>
      </w:r>
    </w:p>
    <w:p w:rsidR="00000000" w:rsidDel="00000000" w:rsidP="00000000" w:rsidRDefault="00000000" w:rsidRPr="00000000" w14:paraId="00000019">
      <w:pPr>
        <w:numPr>
          <w:ilvl w:val="0"/>
          <w:numId w:val="6"/>
        </w:numPr>
        <w:spacing w:after="0" w:afterAutospacing="0" w:before="0" w:beforeAutospacing="0" w:lineRule="auto"/>
        <w:ind w:left="720" w:hanging="360"/>
        <w:jc w:val="left"/>
        <w:rPr/>
      </w:pPr>
      <w:r w:rsidDel="00000000" w:rsidR="00000000" w:rsidRPr="00000000">
        <w:rPr>
          <w:rtl w:val="0"/>
        </w:rPr>
        <w:t xml:space="preserve">Wireframes</w:t>
      </w:r>
    </w:p>
    <w:p w:rsidR="00000000" w:rsidDel="00000000" w:rsidP="00000000" w:rsidRDefault="00000000" w:rsidRPr="00000000" w14:paraId="0000001A">
      <w:pPr>
        <w:numPr>
          <w:ilvl w:val="0"/>
          <w:numId w:val="6"/>
        </w:numPr>
        <w:spacing w:after="0" w:afterAutospacing="0" w:before="0" w:beforeAutospacing="0" w:lineRule="auto"/>
        <w:ind w:left="720" w:hanging="360"/>
        <w:jc w:val="left"/>
        <w:rPr/>
      </w:pPr>
      <w:r w:rsidDel="00000000" w:rsidR="00000000" w:rsidRPr="00000000">
        <w:rPr>
          <w:rtl w:val="0"/>
        </w:rPr>
        <w:t xml:space="preserve">Del Wireframe al prototipo</w:t>
      </w:r>
    </w:p>
    <w:p w:rsidR="00000000" w:rsidDel="00000000" w:rsidP="00000000" w:rsidRDefault="00000000" w:rsidRPr="00000000" w14:paraId="0000001B">
      <w:pPr>
        <w:numPr>
          <w:ilvl w:val="0"/>
          <w:numId w:val="6"/>
        </w:numPr>
        <w:spacing w:after="0" w:afterAutospacing="0" w:before="0" w:beforeAutospacing="0" w:lineRule="auto"/>
        <w:ind w:left="720" w:hanging="360"/>
        <w:jc w:val="left"/>
        <w:rPr/>
      </w:pPr>
      <w:r w:rsidDel="00000000" w:rsidR="00000000" w:rsidRPr="00000000">
        <w:rPr>
          <w:rtl w:val="0"/>
        </w:rPr>
        <w:t xml:space="preserve">Buenas prácticas de prototipado</w:t>
      </w:r>
      <w:r w:rsidDel="00000000" w:rsidR="00000000" w:rsidRPr="00000000">
        <w:rPr>
          <w:rtl w:val="0"/>
        </w:rPr>
      </w:r>
    </w:p>
    <w:p w:rsidR="00000000" w:rsidDel="00000000" w:rsidP="00000000" w:rsidRDefault="00000000" w:rsidRPr="00000000" w14:paraId="0000001C">
      <w:pPr>
        <w:pStyle w:val="Heading1"/>
        <w:numPr>
          <w:ilvl w:val="0"/>
          <w:numId w:val="4"/>
        </w:numPr>
        <w:spacing w:before="0" w:beforeAutospacing="0"/>
        <w:ind w:left="432"/>
        <w:rPr>
          <w:u w:val="none"/>
        </w:rPr>
      </w:pPr>
      <w:bookmarkStart w:colFirst="0" w:colLast="0" w:name="_a1okclatiswm" w:id="4"/>
      <w:bookmarkEnd w:id="4"/>
      <w:r w:rsidDel="00000000" w:rsidR="00000000" w:rsidRPr="00000000">
        <w:rPr>
          <w:rtl w:val="0"/>
        </w:rPr>
        <w:t xml:space="preserve">Actividades</w:t>
      </w:r>
    </w:p>
    <w:p w:rsidR="00000000" w:rsidDel="00000000" w:rsidP="00000000" w:rsidRDefault="00000000" w:rsidRPr="00000000" w14:paraId="0000001D">
      <w:pPr>
        <w:rPr/>
      </w:pPr>
      <w:r w:rsidDel="00000000" w:rsidR="00000000" w:rsidRPr="00000000">
        <w:rPr>
          <w:rtl w:val="0"/>
        </w:rPr>
        <w:t xml:space="preserve">Esta unidad no se estudia de forma aislada, sino integrada en un bloque junto con las seis primeras unidades del módulo. Al finalizar la sexta unidad, se propondrán actividades de carácter no evaluable que engloban los contenidos trabajados en todo el bloque. La realización de dichas actividades será fundamental para afianzar los conocimientos, ya que los aprendizajes adquiridos en estas unidades constituirán la base necesaria para resolver correctamente las actividades evaluables posteriores.</w:t>
      </w:r>
      <w:r w:rsidDel="00000000" w:rsidR="00000000" w:rsidRPr="00000000">
        <w:rPr>
          <w:rtl w:val="0"/>
        </w:rPr>
      </w:r>
    </w:p>
    <w:p w:rsidR="00000000" w:rsidDel="00000000" w:rsidP="00000000" w:rsidRDefault="00000000" w:rsidRPr="00000000" w14:paraId="0000001E">
      <w:pPr>
        <w:pStyle w:val="Heading1"/>
        <w:numPr>
          <w:ilvl w:val="0"/>
          <w:numId w:val="4"/>
        </w:numPr>
        <w:ind w:left="432"/>
        <w:rPr/>
      </w:pPr>
      <w:bookmarkStart w:colFirst="0" w:colLast="0" w:name="_7kljffjw728v" w:id="5"/>
      <w:bookmarkEnd w:id="5"/>
      <w:r w:rsidDel="00000000" w:rsidR="00000000" w:rsidRPr="00000000">
        <w:rPr>
          <w:rtl w:val="0"/>
        </w:rPr>
        <w:t xml:space="preserve">Recomendaciones</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Si se acude a las TC (Tutorías Colectivas), las cuales no son obligatorias, es imprescindible haber estudiado el tema previamente en casa.</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5">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Unidad 06 -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2">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w:t>
      <w:tab/>
      <w:tab/>
      <w:t xml:space="preserve">Unidad 06. Guía didáctica</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