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40"/>
        <w:jc w:val="center"/>
        <w:rPr/>
      </w:pPr>
      <w:r>
        <w:rPr>
          <w:b/>
          <w:bCs/>
          <w:color w:val="2E75B6"/>
          <w:sz w:val="48"/>
          <w:szCs w:val="48"/>
        </w:rPr>
        <w:t>Risk Assessment Report</w:t>
      </w:r>
    </w:p>
    <w:p>
      <w:pPr>
        <w:pStyle w:val="Normal"/>
        <w:spacing w:before="0" w:after="480"/>
        <w:jc w:val="center"/>
        <w:rPr/>
      </w:pPr>
      <w:r>
        <w:rPr>
          <w:color w:val="666666"/>
          <w:sz w:val="32"/>
          <w:szCs w:val="32"/>
        </w:rPr>
        <w:t>Financial &amp; Operational Risk Analysis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19"/>
        <w:gridCol w:w="6241"/>
      </w:tblGrid>
      <w:tr>
        <w:trPr/>
        <w:tc>
          <w:tcPr>
            <w:tcW w:w="31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Project:</w:t>
            </w:r>
          </w:p>
        </w:tc>
        <w:tc>
          <w:tcPr>
            <w:tcW w:w="62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Portfolio Risk Analysis - Financial Services</w:t>
            </w:r>
          </w:p>
        </w:tc>
      </w:tr>
      <w:tr>
        <w:trPr/>
        <w:tc>
          <w:tcPr>
            <w:tcW w:w="31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Analyst:</w:t>
            </w:r>
          </w:p>
        </w:tc>
        <w:tc>
          <w:tcPr>
            <w:tcW w:w="62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Risk Analytics Team</w:t>
            </w:r>
          </w:p>
        </w:tc>
      </w:tr>
      <w:tr>
        <w:trPr/>
        <w:tc>
          <w:tcPr>
            <w:tcW w:w="31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Date:</w:t>
            </w:r>
          </w:p>
        </w:tc>
        <w:tc>
          <w:tcPr>
            <w:tcW w:w="62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February 15, 202</w:t>
            </w:r>
            <w:r>
              <w:rPr/>
              <w:t>3</w:t>
            </w:r>
          </w:p>
        </w:tc>
      </w:tr>
    </w:tbl>
    <w:p>
      <w:pPr>
        <w:pStyle w:val="Normal"/>
        <w:spacing w:before="0" w:after="240"/>
        <w:rPr/>
      </w:pPr>
      <w:r>
        <w:rPr/>
      </w:r>
    </w:p>
    <w:p>
      <w:pPr>
        <w:pStyle w:val="Heading1"/>
        <w:rPr/>
      </w:pPr>
      <w:r>
        <w:rPr/>
        <w:t>1. Executive Summary</w:t>
      </w:r>
    </w:p>
    <w:p>
      <w:pPr>
        <w:pStyle w:val="Normal"/>
        <w:spacing w:before="0" w:after="180"/>
        <w:rPr/>
      </w:pPr>
      <w:r>
        <w:rPr/>
        <w:t>This report evaluates the financial and operational risks of a simulated loan portfolio comprising 1,000 customer accounts. Key objectives include:</w:t>
      </w:r>
    </w:p>
    <w:p>
      <w:pPr>
        <w:pStyle w:val="ListParagraph"/>
        <w:numPr>
          <w:ilvl w:val="0"/>
          <w:numId w:val="4"/>
        </w:numPr>
        <w:rPr/>
      </w:pPr>
      <w:r>
        <w:rPr/>
        <w:t>Quantifying the probability of loan defaults</w:t>
      </w:r>
    </w:p>
    <w:p>
      <w:pPr>
        <w:pStyle w:val="ListParagraph"/>
        <w:numPr>
          <w:ilvl w:val="0"/>
          <w:numId w:val="1"/>
        </w:numPr>
        <w:rPr/>
      </w:pPr>
      <w:r>
        <w:rPr/>
        <w:t>Estimating Value at Risk (VaR) under adverse scenarios</w:t>
      </w:r>
    </w:p>
    <w:p>
      <w:pPr>
        <w:pStyle w:val="ListParagraph"/>
        <w:numPr>
          <w:ilvl w:val="0"/>
          <w:numId w:val="1"/>
        </w:numPr>
        <w:rPr/>
      </w:pPr>
      <w:r>
        <w:rPr/>
        <w:t>Performing stress testing to assess operational vulnerabilities</w:t>
      </w:r>
    </w:p>
    <w:p>
      <w:pPr>
        <w:pStyle w:val="ListParagraph"/>
        <w:numPr>
          <w:ilvl w:val="0"/>
          <w:numId w:val="1"/>
        </w:numPr>
        <w:spacing w:before="0" w:after="240"/>
        <w:rPr/>
      </w:pPr>
      <w:r>
        <w:rPr/>
        <w:t>Providing actionable recommendations to mitigate risk</w:t>
      </w:r>
    </w:p>
    <w:p>
      <w:pPr>
        <w:pStyle w:val="Normal"/>
        <w:spacing w:before="0" w:after="120"/>
        <w:rPr/>
      </w:pPr>
      <w:r>
        <w:rPr>
          <w:b/>
          <w:bCs/>
        </w:rPr>
        <w:t>Key Findings:</w:t>
      </w:r>
    </w:p>
    <w:p>
      <w:pPr>
        <w:pStyle w:val="ListParagraph"/>
        <w:numPr>
          <w:ilvl w:val="0"/>
          <w:numId w:val="1"/>
        </w:numPr>
        <w:rPr/>
      </w:pPr>
      <w:r>
        <w:rPr/>
        <w:t>Unweighted mean account PD is 29.80%; EAD-weighted PD is 17.23%</w:t>
      </w:r>
    </w:p>
    <w:p>
      <w:pPr>
        <w:pStyle w:val="ListParagraph"/>
        <w:numPr>
          <w:ilvl w:val="0"/>
          <w:numId w:val="1"/>
        </w:numPr>
        <w:rPr/>
      </w:pPr>
      <w:r>
        <w:rPr/>
        <w:t>Illustrative 95% credit-loss VaR is $9,526,628.91 (assumed LGD 45%, correlation 0.15)</w:t>
      </w:r>
    </w:p>
    <w:p>
      <w:pPr>
        <w:pStyle w:val="ListParagraph"/>
        <w:numPr>
          <w:ilvl w:val="0"/>
          <w:numId w:val="1"/>
        </w:numPr>
        <w:rPr/>
      </w:pPr>
      <w:r>
        <w:rPr/>
        <w:t>504 loans have PD above 20% (50.4% of count, 29.72% of EAD)</w:t>
      </w:r>
    </w:p>
    <w:p>
      <w:pPr>
        <w:pStyle w:val="ListParagraph"/>
        <w:numPr>
          <w:ilvl w:val="0"/>
          <w:numId w:val="1"/>
        </w:numPr>
        <w:spacing w:before="0" w:after="360"/>
        <w:rPr/>
      </w:pPr>
      <w:r>
        <w:rPr/>
        <w:t>Combined borrower-earnings stress: aggregate net income -$12,559,240.00, which is not credit loss</w:t>
      </w:r>
    </w:p>
    <w:p>
      <w:pPr>
        <w:pStyle w:val="Heading1"/>
        <w:rPr/>
      </w:pPr>
      <w:r>
        <w:rPr/>
        <w:t>2. Methodology</w:t>
      </w:r>
    </w:p>
    <w:p>
      <w:pPr>
        <w:pStyle w:val="Heading2"/>
        <w:rPr/>
      </w:pPr>
      <w:r>
        <w:rPr/>
        <w:t>2.1 Data Collection &amp; Cleaning</w:t>
      </w:r>
    </w:p>
    <w:p>
      <w:pPr>
        <w:pStyle w:val="Normal"/>
        <w:spacing w:before="0" w:after="180"/>
        <w:rPr/>
      </w:pPr>
      <w:r>
        <w:rPr/>
        <w:t>Dataset includes 1000 loans with comprehensive financial and operational metrics. Total loan portfolio value: $68,121,079.07.</w:t>
      </w:r>
    </w:p>
    <w:p>
      <w:pPr>
        <w:pStyle w:val="Normal"/>
        <w:spacing w:before="0" w:after="120"/>
        <w:rPr/>
      </w:pPr>
      <w:r>
        <w:rPr>
          <w:b/>
          <w:bCs/>
        </w:rPr>
        <w:t>Key columns analyzed:</w:t>
      </w:r>
    </w:p>
    <w:p>
      <w:pPr>
        <w:pStyle w:val="ListParagraph"/>
        <w:numPr>
          <w:ilvl w:val="0"/>
          <w:numId w:val="1"/>
        </w:numPr>
        <w:rPr/>
      </w:pPr>
      <w:r>
        <w:rPr/>
        <w:t>Credit Score (observed 421 to 850)</w:t>
      </w:r>
    </w:p>
    <w:p>
      <w:pPr>
        <w:pStyle w:val="ListParagraph"/>
        <w:numPr>
          <w:ilvl w:val="0"/>
          <w:numId w:val="1"/>
        </w:numPr>
        <w:rPr/>
      </w:pPr>
      <w:r>
        <w:rPr/>
        <w:t>Loan Amount</w:t>
      </w:r>
    </w:p>
    <w:p>
      <w:pPr>
        <w:pStyle w:val="ListParagraph"/>
        <w:numPr>
          <w:ilvl w:val="0"/>
          <w:numId w:val="1"/>
        </w:numPr>
        <w:rPr/>
      </w:pPr>
      <w:r>
        <w:rPr/>
        <w:t>Operational Risk Score (0-100 scale)</w:t>
      </w:r>
    </w:p>
    <w:p>
      <w:pPr>
        <w:pStyle w:val="ListParagraph"/>
        <w:numPr>
          <w:ilvl w:val="0"/>
          <w:numId w:val="1"/>
        </w:numPr>
        <w:rPr/>
      </w:pPr>
      <w:r>
        <w:rPr/>
        <w:t>Revenue and Expenses</w:t>
      </w:r>
    </w:p>
    <w:p>
      <w:pPr>
        <w:pStyle w:val="ListParagraph"/>
        <w:numPr>
          <w:ilvl w:val="0"/>
          <w:numId w:val="1"/>
        </w:numPr>
        <w:spacing w:before="0" w:after="240"/>
        <w:rPr/>
      </w:pPr>
      <w:r>
        <w:rPr/>
        <w:t>Net Income</w:t>
      </w:r>
    </w:p>
    <w:p>
      <w:pPr>
        <w:pStyle w:val="Heading2"/>
        <w:rPr/>
      </w:pPr>
      <w:r>
        <w:rPr/>
        <w:t>2.2 Risk Quantification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Probability of Default (PD): </w:t>
      </w:r>
      <w:r>
        <w:rPr/>
        <w:t>in-sample logistic regression on credit score, loan amount, and operational risk. LGD is not observed; illustrative loss uses a constant 45% LGD. EAD is loan amount. EL = PD × LGD × EAD.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Value at Risk (VaR): </w:t>
      </w:r>
      <w:r>
        <w:rPr/>
        <w:t>Credit-loss VaR is a quantile of simulated portfolio loss. Borrower-income percentiles are reported separately and are not VaR.</w:t>
      </w:r>
    </w:p>
    <w:p>
      <w:pPr>
        <w:pStyle w:val="ListParagraph"/>
        <w:numPr>
          <w:ilvl w:val="0"/>
          <w:numId w:val="1"/>
        </w:numPr>
        <w:spacing w:before="0" w:after="240"/>
        <w:rPr/>
      </w:pPr>
      <w:r>
        <w:rPr>
          <w:b/>
          <w:bCs/>
        </w:rPr>
        <w:t xml:space="preserve">Stress Tests: </w:t>
      </w:r>
      <w:r>
        <w:rPr/>
        <w:t>a 20% revenue drop and a 10% expense increase. This does not change PD or expected loss. Credit stress: systematic factor at its 5th percentile.</w:t>
      </w:r>
    </w:p>
    <w:p>
      <w:pPr>
        <w:pStyle w:val="Heading2"/>
        <w:rPr/>
      </w:pPr>
      <w:r>
        <w:rPr/>
        <w:t>2.3 Tools Used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Python: </w:t>
      </w:r>
      <w:r>
        <w:rPr/>
        <w:t>Scikit-learn for logistic regression, NumPy/Pandas for data analysis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Visualization: </w:t>
      </w:r>
      <w:r>
        <w:rPr/>
        <w:t>Matplotlib and Seaborn for chart generation</w:t>
      </w:r>
    </w:p>
    <w:p>
      <w:pPr>
        <w:pStyle w:val="ListParagraph"/>
        <w:numPr>
          <w:ilvl w:val="0"/>
          <w:numId w:val="1"/>
        </w:numPr>
        <w:spacing w:before="0" w:after="360"/>
        <w:rPr/>
      </w:pPr>
      <w:r>
        <w:rPr>
          <w:b/>
          <w:bCs/>
        </w:rPr>
        <w:t xml:space="preserve">Statistical Analysis: </w:t>
      </w:r>
      <w:r>
        <w:rPr/>
        <w:t>VaR calculations, scenario modeling, probability distributions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rPr/>
      </w:pPr>
      <w:r>
        <w:rPr/>
        <w:t>3. Analysis &amp; Results</w:t>
      </w:r>
    </w:p>
    <w:p>
      <w:pPr>
        <w:pStyle w:val="Heading2"/>
        <w:rPr/>
      </w:pPr>
      <w:r>
        <w:rPr/>
        <w:t>3.1 Probability of Default (PD)</w:t>
      </w:r>
    </w:p>
    <w:p>
      <w:pPr>
        <w:pStyle w:val="Normal"/>
        <w:spacing w:before="0" w:after="180"/>
        <w:rPr/>
      </w:pPr>
      <w:r>
        <w:rPr/>
        <w:t>The unweighted mean of in-sample account PDs is 29.80%. The EAD-weighted mean is 17.23% because higher-PD loans are smaller. These PDs are the full-sample logistic fit, not a holdout validation.</w:t>
      </w:r>
    </w:p>
    <w:p>
      <w:pPr>
        <w:pStyle w:val="ListParagraph"/>
        <w:numPr>
          <w:ilvl w:val="0"/>
          <w:numId w:val="1"/>
        </w:numPr>
        <w:rPr/>
      </w:pPr>
      <w:r>
        <w:rPr/>
        <w:t>504 loans have PD above 20% (50.4% of count and 29.72% of EAD)</w:t>
      </w:r>
    </w:p>
    <w:p>
      <w:pPr>
        <w:pStyle w:val="ListParagraph"/>
        <w:numPr>
          <w:ilvl w:val="0"/>
          <w:numId w:val="1"/>
        </w:numPr>
        <w:rPr/>
      </w:pPr>
      <w:r>
        <w:rPr/>
        <w:t>Strong negative correlation between credit score and default probability</w:t>
      </w:r>
    </w:p>
    <w:p>
      <w:pPr>
        <w:pStyle w:val="ListParagraph"/>
        <w:numPr>
          <w:ilvl w:val="0"/>
          <w:numId w:val="1"/>
        </w:numPr>
        <w:spacing w:before="0" w:after="240"/>
        <w:rPr/>
      </w:pPr>
      <w:r>
        <w:rPr/>
        <w:t>Operational risk score is barely associated with default (correlation 0.02)</w:t>
      </w:r>
    </w:p>
    <w:p>
      <w:pPr>
        <w:pStyle w:val="Normal"/>
        <w:spacing w:before="0" w:after="120"/>
        <w:rPr/>
      </w:pPr>
      <w:r>
        <w:rPr>
          <w:b/>
          <w:bCs/>
        </w:rPr>
        <w:t>Figure 1: Distribution of Probability of Default</w:t>
      </w:r>
    </w:p>
    <w:p>
      <w:pPr>
        <w:pStyle w:val="Normal"/>
        <w:spacing w:before="0" w:after="240"/>
        <w:rPr/>
      </w:pPr>
      <w:r>
        <w:rPr/>
        <w:drawing>
          <wp:inline distT="0" distB="0" distL="0" distR="0">
            <wp:extent cx="4762500" cy="285750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rPr/>
      </w:pPr>
      <w:r>
        <w:rPr>
          <w:b/>
          <w:bCs/>
        </w:rPr>
        <w:t>Figure 2: Credit Score vs Probability of Default</w:t>
      </w:r>
    </w:p>
    <w:p>
      <w:pPr>
        <w:pStyle w:val="Normal"/>
        <w:spacing w:before="0" w:after="360"/>
        <w:rPr/>
      </w:pPr>
      <w:r>
        <w:rPr/>
        <w:drawing>
          <wp:inline distT="0" distB="0" distL="0" distR="0">
            <wp:extent cx="4762500" cy="285750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rPr/>
      </w:pPr>
      <w:r>
        <w:rPr/>
        <w:t>3.2 Value at Risk (VaR)</w:t>
      </w:r>
    </w:p>
    <w:p>
      <w:pPr>
        <w:pStyle w:val="Normal"/>
        <w:spacing w:before="0" w:after="180"/>
        <w:rPr/>
      </w:pPr>
      <w:r>
        <w:rPr/>
        <w:t>The next two figures are percentiles of borrower net income per account. They were mislabeled as VaR in the February 2023 draft. A loss VaR cannot be smaller at 99% than at 95%.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5th percentile of borrower net income: </w:t>
      </w:r>
      <w:r>
        <w:rPr/>
        <w:t>$43,146.55</w:t>
      </w:r>
    </w:p>
    <w:p>
      <w:pPr>
        <w:pStyle w:val="ListParagraph"/>
        <w:numPr>
          <w:ilvl w:val="0"/>
          <w:numId w:val="1"/>
        </w:numPr>
        <w:spacing w:before="0" w:after="180"/>
        <w:rPr/>
      </w:pPr>
      <w:r>
        <w:rPr>
          <w:b/>
          <w:bCs/>
        </w:rPr>
        <w:t xml:space="preserve">1st percentile of borrower net income: </w:t>
      </w:r>
      <w:r>
        <w:rPr/>
        <w:t>$25,890.70</w:t>
      </w:r>
    </w:p>
    <w:p>
      <w:pPr>
        <w:pStyle w:val="Normal"/>
        <w:spacing w:before="0" w:after="360"/>
        <w:rPr/>
      </w:pPr>
      <w:r>
        <w:rPr>
          <w:b/>
          <w:bCs/>
        </w:rPr>
        <w:t xml:space="preserve">Implication: </w:t>
      </w:r>
      <w:r>
        <w:rPr/>
        <w:t>Those income percentiles are dollars per borrower, not a portfolio credit loss. Under an assumed LGD of 45% and an asset correlation of 0.15 (20,000 draws, seed 42), illustrative portfolio credit-loss VaR is $9,526,628.91 at 95% and $11,936,201.30 at 99%. Expected loss on that assumption is $5,280,499.32. LGD and correlation are not estimated from this file.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80"/>
        <w:rPr/>
      </w:pPr>
      <w:r>
        <w:rPr/>
        <w:t>3.3 Stress Test Outcomes</w:t>
      </w:r>
    </w:p>
    <w:p>
      <w:pPr>
        <w:pStyle w:val="Normal"/>
        <w:spacing w:before="0" w:after="240"/>
        <w:rPr/>
      </w:pPr>
      <w:r>
        <w:rPr/>
        <w:t>Comprehensive stress testing reveals portfolio resilience under various adverse scenarios: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4680"/>
      </w:tblGrid>
      <w:tr>
        <w:trPr/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5B6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5B6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Aggregate borrower net income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5B6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Key Observations</w:t>
            </w:r>
          </w:p>
        </w:tc>
      </w:tr>
      <w:tr>
        <w:trPr/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0F0F0" w:val="clear"/>
          </w:tcPr>
          <w:p>
            <w:pPr>
              <w:pStyle w:val="Normal"/>
              <w:rPr/>
            </w:pPr>
            <w:r>
              <w:rPr/>
              <w:t>Base Case</w:t>
            </w: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0F0F0" w:val="clear"/>
          </w:tcPr>
          <w:p>
            <w:pPr>
              <w:pStyle w:val="Normal"/>
              <w:rPr/>
            </w:pPr>
            <w:r>
              <w:rPr/>
              <w:t>$124,207,710.82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0F0F0" w:val="clear"/>
          </w:tcPr>
          <w:p>
            <w:pPr>
              <w:pStyle w:val="Normal"/>
              <w:rPr/>
            </w:pPr>
            <w:r>
              <w:rPr/>
              <w:t>Revenue minus expenses. The Net_Income column sums to $124,207,710.74 ($0.08 rounding gap).</w:t>
            </w:r>
          </w:p>
        </w:tc>
      </w:tr>
      <w:tr>
        <w:trPr/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Revenue Down 20%</w:t>
            </w: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$24,749,229.55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Aggregate borrower net income falls 80.07%. The file has no segment column.</w:t>
            </w:r>
          </w:p>
        </w:tc>
      </w:tr>
      <w:tr>
        <w:trPr/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0F0F0" w:val="clear"/>
          </w:tcPr>
          <w:p>
            <w:pPr>
              <w:pStyle w:val="Normal"/>
              <w:rPr/>
            </w:pPr>
            <w:r>
              <w:rPr/>
              <w:t>Expenses Up 10%</w:t>
            </w: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0F0F0" w:val="clear"/>
          </w:tcPr>
          <w:p>
            <w:pPr>
              <w:pStyle w:val="Normal"/>
              <w:rPr/>
            </w:pPr>
            <w:r>
              <w:rPr/>
              <w:t>$86,899,241.27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0F0F0" w:val="clear"/>
          </w:tcPr>
          <w:p>
            <w:pPr>
              <w:pStyle w:val="Normal"/>
              <w:rPr/>
            </w:pPr>
            <w:r>
              <w:rPr/>
              <w:t>Aggregate borrower net income falls 30.04%. This is not lender profit.</w:t>
            </w:r>
          </w:p>
        </w:tc>
      </w:tr>
      <w:tr>
        <w:trPr/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E6E6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Combined Stress</w:t>
            </w: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E6E6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-$12,559,240.00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E6E6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Aggregate borrower net income is negative. This is not expected credit loss.</w:t>
            </w:r>
          </w:p>
        </w:tc>
      </w:tr>
    </w:tbl>
    <w:p>
      <w:pPr>
        <w:pStyle w:val="Normal"/>
        <w:spacing w:before="0" w:after="240"/>
        <w:rPr/>
      </w:pPr>
      <w:r>
        <w:rPr/>
      </w:r>
    </w:p>
    <w:p>
      <w:pPr>
        <w:pStyle w:val="Normal"/>
        <w:spacing w:before="0" w:after="120"/>
        <w:rPr/>
      </w:pPr>
      <w:r>
        <w:rPr>
          <w:b/>
          <w:bCs/>
        </w:rPr>
        <w:t>Figure 3: Stress Test Scenario Comparison</w:t>
      </w:r>
    </w:p>
    <w:p>
      <w:pPr>
        <w:pStyle w:val="Normal"/>
        <w:spacing w:before="0" w:after="360"/>
        <w:rPr/>
      </w:pPr>
      <w:r>
        <w:rPr/>
        <w:drawing>
          <wp:inline distT="0" distB="0" distL="0" distR="0">
            <wp:extent cx="4762500" cy="285750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rPr/>
      </w:pPr>
      <w:r>
        <w:rPr/>
        <w:t>3.4 Operational Risk Highlights</w:t>
      </w:r>
    </w:p>
    <w:p>
      <w:pPr>
        <w:pStyle w:val="Normal"/>
        <w:spacing w:before="0" w:after="180"/>
        <w:rPr/>
      </w:pPr>
      <w:r>
        <w:rPr/>
        <w:t>Operational risk scores on this book: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High-risk segments: </w:t>
      </w:r>
      <w:r>
        <w:rPr/>
        <w:t>Customers with operational risk above 60 default at 29.67% (27 of 91), versus 29.81% (271 of 909) for the rest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Process inefficiencies: </w:t>
      </w:r>
      <w:r>
        <w:rPr/>
        <w:t>This file does not show a higher default rate when the operational risk score is already high</w:t>
      </w:r>
    </w:p>
    <w:p>
      <w:pPr>
        <w:pStyle w:val="ListParagraph"/>
        <w:numPr>
          <w:ilvl w:val="0"/>
          <w:numId w:val="1"/>
        </w:numPr>
        <w:spacing w:before="0" w:after="240"/>
        <w:rPr/>
      </w:pPr>
      <w:r>
        <w:rPr>
          <w:b/>
          <w:bCs/>
        </w:rPr>
        <w:t xml:space="preserve">Monitoring gaps: </w:t>
      </w:r>
      <w:r>
        <w:rPr/>
        <w:t>Current systems lack real-time tracking of operational risk indicators</w:t>
      </w:r>
    </w:p>
    <w:p>
      <w:pPr>
        <w:pStyle w:val="Normal"/>
        <w:spacing w:before="0" w:after="120"/>
        <w:rPr/>
      </w:pPr>
      <w:r>
        <w:rPr>
          <w:b/>
          <w:bCs/>
        </w:rPr>
        <w:t>Figure 4: High-PD concentration and operational-risk default rates</w:t>
      </w:r>
    </w:p>
    <w:p>
      <w:pPr>
        <w:pStyle w:val="Normal"/>
        <w:spacing w:before="0" w:after="360"/>
        <w:rPr/>
      </w:pPr>
      <w:r>
        <w:rPr/>
        <w:drawing>
          <wp:inline distT="0" distB="0" distL="0" distR="0">
            <wp:extent cx="4762500" cy="285750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rPr/>
      </w:pPr>
      <w:r>
        <w:rPr/>
        <w:t>4. Recommendations</w:t>
      </w:r>
    </w:p>
    <w:p>
      <w:pPr>
        <w:pStyle w:val="Normal"/>
        <w:spacing w:before="0" w:after="240"/>
        <w:rPr/>
      </w:pPr>
      <w:r>
        <w:rPr/>
        <w:t>Based on the comprehensive risk analysis, the following strategic recommendations are proposed:</w:t>
      </w:r>
    </w:p>
    <w:p>
      <w:pPr>
        <w:pStyle w:val="ListParagraph"/>
        <w:numPr>
          <w:ilvl w:val="0"/>
          <w:numId w:val="5"/>
        </w:numPr>
        <w:rPr/>
      </w:pPr>
      <w:r>
        <w:rPr>
          <w:b/>
          <w:bCs/>
        </w:rPr>
        <w:t>Credit Risk Mitigation</w:t>
      </w:r>
    </w:p>
    <w:p>
      <w:pPr>
        <w:pStyle w:val="Normal"/>
        <w:spacing w:before="0" w:after="180"/>
        <w:rPr/>
      </w:pPr>
      <w:r>
        <w:rPr/>
        <w:t xml:space="preserve">   </w:t>
      </w:r>
      <w:r>
        <w:rPr/>
        <w:t>Implement stricter lending criteria for loans with PD &gt; 20%. Consider requiring additional collateral or higher interest rates for high-risk borrowers. Recommended actions include credit score threshold adjustments and enhanced underwriting processes.</w:t>
      </w:r>
    </w:p>
    <w:p>
      <w:pPr>
        <w:pStyle w:val="ListParagraph"/>
        <w:numPr>
          <w:ilvl w:val="0"/>
          <w:numId w:val="2"/>
        </w:numPr>
        <w:rPr/>
      </w:pPr>
      <w:r>
        <w:rPr>
          <w:b/>
          <w:bCs/>
        </w:rPr>
        <w:t>Operational Risk Management</w:t>
      </w:r>
    </w:p>
    <w:p>
      <w:pPr>
        <w:pStyle w:val="Normal"/>
        <w:spacing w:before="0" w:after="180"/>
        <w:rPr/>
      </w:pPr>
      <w:r>
        <w:rPr/>
        <w:t xml:space="preserve">   </w:t>
      </w:r>
      <w:r>
        <w:rPr/>
        <w:t>Do not treat an operational risk score above 60 as a default screen on this book: that band's default rate matches the rest. Monitoring can still be an operational control.</w:t>
      </w:r>
    </w:p>
    <w:p>
      <w:pPr>
        <w:pStyle w:val="ListParagraph"/>
        <w:numPr>
          <w:ilvl w:val="0"/>
          <w:numId w:val="2"/>
        </w:numPr>
        <w:rPr/>
      </w:pPr>
      <w:r>
        <w:rPr>
          <w:b/>
          <w:bCs/>
        </w:rPr>
        <w:t>Stress Test Preparedness</w:t>
      </w:r>
    </w:p>
    <w:p>
      <w:pPr>
        <w:pStyle w:val="Normal"/>
        <w:spacing w:before="0" w:after="180"/>
        <w:rPr/>
      </w:pPr>
      <w:r>
        <w:rPr/>
        <w:t xml:space="preserve">   </w:t>
      </w:r>
      <w:r>
        <w:rPr/>
        <w:t>Size any capital buffer from credit-loss expected loss and VaR. Those figures depend on an LGD and a correlation this file does not contain. Do not size the buffer from the borrower-income stress.</w:t>
      </w:r>
    </w:p>
    <w:p>
      <w:pPr>
        <w:pStyle w:val="ListParagraph"/>
        <w:numPr>
          <w:ilvl w:val="0"/>
          <w:numId w:val="2"/>
        </w:numPr>
        <w:rPr/>
      </w:pPr>
      <w:r>
        <w:rPr>
          <w:b/>
          <w:bCs/>
        </w:rPr>
        <w:t>Portfolio Diversification</w:t>
      </w:r>
    </w:p>
    <w:p>
      <w:pPr>
        <w:pStyle w:val="Normal"/>
        <w:spacing w:before="0" w:after="180"/>
        <w:rPr/>
      </w:pPr>
      <w:r>
        <w:rPr/>
        <w:t xml:space="preserve">   </w:t>
      </w:r>
      <w:r>
        <w:rPr/>
        <w:t>High-PD loans are 50.4% of count and 29.72% of EAD. Exposure concentration is the figure to manage. A 30% cap would be a policy choice, not a result from this file.</w:t>
      </w:r>
    </w:p>
    <w:p>
      <w:pPr>
        <w:pStyle w:val="ListParagraph"/>
        <w:numPr>
          <w:ilvl w:val="0"/>
          <w:numId w:val="2"/>
        </w:numPr>
        <w:rPr/>
      </w:pPr>
      <w:r>
        <w:rPr>
          <w:b/>
          <w:bCs/>
        </w:rPr>
        <w:t>Monitoring &amp; Reporting Infrastructure</w:t>
      </w:r>
    </w:p>
    <w:p>
      <w:pPr>
        <w:pStyle w:val="Normal"/>
        <w:spacing w:before="0" w:after="180"/>
        <w:rPr/>
      </w:pPr>
      <w:r>
        <w:rPr/>
        <w:t xml:space="preserve">   </w:t>
      </w:r>
      <w:r>
        <w:rPr/>
        <w:t>Deploy real-time dashboards tracking PD, VaR, and operational KPIs. Implement automated reporting systems with weekly executive summaries and monthly deep-dive analyses. Integrate predictive analytics for early warning signals.</w:t>
      </w:r>
    </w:p>
    <w:p>
      <w:pPr>
        <w:pStyle w:val="ListParagraph"/>
        <w:numPr>
          <w:ilvl w:val="0"/>
          <w:numId w:val="2"/>
        </w:numPr>
        <w:rPr/>
      </w:pPr>
      <w:r>
        <w:rPr>
          <w:b/>
          <w:bCs/>
        </w:rPr>
        <w:t>Risk-Adjusted Pricing Strategy</w:t>
      </w:r>
    </w:p>
    <w:p>
      <w:pPr>
        <w:pStyle w:val="Normal"/>
        <w:spacing w:before="0" w:after="360"/>
        <w:rPr/>
      </w:pPr>
      <w:r>
        <w:rPr/>
        <w:t xml:space="preserve">   </w:t>
      </w:r>
      <w:r>
        <w:rPr/>
        <w:t>Implement dynamic pricing models that adjust interest rates based on real-time PD calculations. Ensure that high-risk loans are priced to compensate for increased default probability. Target risk-adjusted returns of 12-15% across the portfolio.</w:t>
      </w:r>
    </w:p>
    <w:p>
      <w:pPr>
        <w:pStyle w:val="Heading1"/>
        <w:rPr/>
      </w:pPr>
      <w:r>
        <w:rPr/>
        <w:t>5. Conclusion</w:t>
      </w:r>
    </w:p>
    <w:p>
      <w:pPr>
        <w:pStyle w:val="Normal"/>
        <w:spacing w:before="0" w:after="180"/>
        <w:rPr/>
      </w:pPr>
      <w:r>
        <w:rPr/>
        <w:t>This comprehensive risk assessment demonstrates advanced capabilities in quantifying financial and operational risks, simulating adverse scenarios, and proposing data-driven mitigation strategies. The analysis reveals:</w:t>
      </w:r>
    </w:p>
    <w:p>
      <w:pPr>
        <w:pStyle w:val="ListParagraph"/>
        <w:numPr>
          <w:ilvl w:val="0"/>
          <w:numId w:val="1"/>
        </w:numPr>
        <w:rPr/>
      </w:pPr>
      <w:r>
        <w:rPr/>
        <w:t>A portfolio with elevated credit risk, requiring immediate attention to high-PD segments</w:t>
      </w:r>
    </w:p>
    <w:p>
      <w:pPr>
        <w:pStyle w:val="ListParagraph"/>
        <w:numPr>
          <w:ilvl w:val="0"/>
          <w:numId w:val="1"/>
        </w:numPr>
        <w:rPr/>
      </w:pPr>
      <w:r>
        <w:rPr/>
        <w:t>Significant vulnerability to revenue shocks, particularly in combined stress scenarios</w:t>
      </w:r>
    </w:p>
    <w:p>
      <w:pPr>
        <w:pStyle w:val="ListParagraph"/>
        <w:numPr>
          <w:ilvl w:val="0"/>
          <w:numId w:val="1"/>
        </w:numPr>
        <w:rPr/>
      </w:pPr>
      <w:r>
        <w:rPr/>
        <w:t>Credit score, not operational risk, is the variable associated with default</w:t>
      </w:r>
    </w:p>
    <w:p>
      <w:pPr>
        <w:pStyle w:val="ListParagraph"/>
        <w:numPr>
          <w:ilvl w:val="0"/>
          <w:numId w:val="1"/>
        </w:numPr>
        <w:spacing w:before="0" w:after="240"/>
        <w:rPr/>
      </w:pPr>
      <w:r>
        <w:rPr/>
        <w:t>Quantifiable risk metrics that can guide strategic decision-making</w:t>
      </w:r>
    </w:p>
    <w:p>
      <w:pPr>
        <w:pStyle w:val="Normal"/>
        <w:spacing w:before="0" w:after="240"/>
        <w:rPr/>
      </w:pPr>
      <w:r>
        <w:rPr/>
        <w:t>The PD model is an in-sample logistic regression. Credit-loss VaR here is a simulated loss quantile under stated assumptions, not a Basel capital number. Borrower earnings stress is reported separately from expected loss.</w:t>
      </w:r>
    </w:p>
    <w:p>
      <w:pPr>
        <w:pStyle w:val="Normal"/>
        <w:spacing w:before="0" w:after="360"/>
        <w:rPr/>
      </w:pPr>
      <w:r>
        <w:rPr/>
        <w:t>The draft assigned the recommendations a PD reduction and a stress improvement. Those effects were not estimated, and they are not reported here.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rPr/>
      </w:pPr>
      <w:r>
        <w:rPr/>
        <w:t>Appendix: Technical Notes</w:t>
      </w:r>
    </w:p>
    <w:p>
      <w:pPr>
        <w:pStyle w:val="Heading2"/>
        <w:rPr/>
      </w:pPr>
      <w:r>
        <w:rPr/>
        <w:t>A. Model Specifications</w:t>
      </w:r>
    </w:p>
    <w:p>
      <w:pPr>
        <w:pStyle w:val="Normal"/>
        <w:spacing w:before="0" w:after="120"/>
        <w:rPr/>
      </w:pPr>
      <w:r>
        <w:rPr>
          <w:b/>
          <w:bCs/>
        </w:rPr>
        <w:t>Logistic Regression Model:</w:t>
      </w:r>
    </w:p>
    <w:p>
      <w:pPr>
        <w:pStyle w:val="Normal"/>
        <w:spacing w:before="0" w:after="120"/>
        <w:rPr/>
      </w:pPr>
      <w:r>
        <w:rPr/>
        <w:t>The probability of default model uses the following specification:</w:t>
      </w:r>
    </w:p>
    <w:p>
      <w:pPr>
        <w:pStyle w:val="Normal"/>
        <w:spacing w:before="0" w:after="180"/>
        <w:rPr/>
      </w:pPr>
      <w:r>
        <w:rPr/>
        <w:t>P(Default) = 1 / (1 + e^-(β₀ + β₁·CreditScore + β₂·LoanAmount + β₃·OpRiskScore))</w:t>
      </w:r>
    </w:p>
    <w:p>
      <w:pPr>
        <w:pStyle w:val="Normal"/>
        <w:spacing w:before="0" w:after="240"/>
        <w:rPr/>
      </w:pPr>
      <w:r>
        <w:rPr/>
        <w:t>The published PD is the in-sample fit. Operational risk is not a multiplier on this book. Out-of-fold AUC is 0.852. Loan amount is collinear with credit score (correlation 0.92); its positive coefficient is not a standalone size effect.</w:t>
      </w:r>
    </w:p>
    <w:p>
      <w:pPr>
        <w:pStyle w:val="Heading2"/>
        <w:rPr/>
      </w:pPr>
      <w:r>
        <w:rPr/>
        <w:t>B. Data Summary Statistics</w:t>
      </w:r>
    </w:p>
    <w:p>
      <w:pPr>
        <w:pStyle w:val="Normal"/>
        <w:spacing w:before="0" w:after="120"/>
        <w:rPr/>
      </w:pPr>
      <w:r>
        <w:rPr>
          <w:b/>
          <w:bCs/>
        </w:rPr>
        <w:t>Portfolio Characteristics:</w:t>
      </w:r>
    </w:p>
    <w:p>
      <w:pPr>
        <w:pStyle w:val="ListParagraph"/>
        <w:numPr>
          <w:ilvl w:val="0"/>
          <w:numId w:val="1"/>
        </w:numPr>
        <w:rPr/>
      </w:pPr>
      <w:r>
        <w:rPr/>
        <w:t>Total Loans: 1,000</w:t>
      </w:r>
    </w:p>
    <w:p>
      <w:pPr>
        <w:pStyle w:val="ListParagraph"/>
        <w:numPr>
          <w:ilvl w:val="0"/>
          <w:numId w:val="1"/>
        </w:numPr>
        <w:rPr/>
      </w:pPr>
      <w:r>
        <w:rPr/>
        <w:t>Total Loan Amount: $68,121,079.07</w:t>
      </w:r>
    </w:p>
    <w:p>
      <w:pPr>
        <w:pStyle w:val="ListParagraph"/>
        <w:numPr>
          <w:ilvl w:val="0"/>
          <w:numId w:val="1"/>
        </w:numPr>
        <w:rPr/>
      </w:pPr>
      <w:r>
        <w:rPr/>
        <w:t>Average Credit Score: 681.0</w:t>
      </w:r>
    </w:p>
    <w:p>
      <w:pPr>
        <w:pStyle w:val="ListParagraph"/>
        <w:numPr>
          <w:ilvl w:val="0"/>
          <w:numId w:val="1"/>
        </w:numPr>
        <w:rPr/>
      </w:pPr>
      <w:r>
        <w:rPr/>
        <w:t>Total Portfolio Revenue: $497,292,406.34</w:t>
      </w:r>
    </w:p>
    <w:p>
      <w:pPr>
        <w:pStyle w:val="ListParagraph"/>
        <w:numPr>
          <w:ilvl w:val="0"/>
          <w:numId w:val="1"/>
        </w:numPr>
        <w:rPr/>
      </w:pPr>
      <w:r>
        <w:rPr/>
        <w:t>Total Portfolio Expenses: $373,084,695.52</w:t>
      </w:r>
    </w:p>
    <w:p>
      <w:pPr>
        <w:pStyle w:val="ListParagraph"/>
        <w:numPr>
          <w:ilvl w:val="0"/>
          <w:numId w:val="1"/>
        </w:numPr>
        <w:spacing w:before="0" w:after="360"/>
        <w:rPr/>
      </w:pPr>
      <w:r>
        <w:rPr/>
        <w:t>Sum of the Net_Income column: $124,207,710.74. Revenue minus expenses is $124,207,710.82.</w:t>
      </w:r>
    </w:p>
    <w:p>
      <w:pPr>
        <w:pStyle w:val="Heading2"/>
        <w:rPr/>
      </w:pPr>
      <w:r>
        <w:rPr/>
        <w:t>C. Methodology Validation</w:t>
      </w:r>
    </w:p>
    <w:p>
      <w:pPr>
        <w:pStyle w:val="Normal"/>
        <w:spacing w:before="0" w:after="180"/>
        <w:rPr/>
      </w:pPr>
      <w:r>
        <w:rPr/>
        <w:t>Notes on the methods: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Logistic Regression: </w:t>
      </w:r>
      <w:r>
        <w:rPr/>
        <w:t>Widely used by financial institutions for binary classification and PD modeling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Value at Risk: </w:t>
      </w:r>
      <w:r>
        <w:rPr/>
        <w:t>a loss quantile. The illustrative figure is not regulatory capital.</w:t>
      </w:r>
    </w:p>
    <w:p>
      <w:pPr>
        <w:pStyle w:val="ListParagraph"/>
        <w:numPr>
          <w:ilvl w:val="0"/>
          <w:numId w:val="1"/>
        </w:numPr>
        <w:rPr/>
      </w:pPr>
      <w:r>
        <w:rPr>
          <w:b/>
          <w:bCs/>
        </w:rPr>
        <w:t xml:space="preserve">Stress Testing: </w:t>
      </w:r>
      <w:r>
        <w:rPr/>
        <w:t>borrower earnings shocks are separate from credit-loss shocks. This is not a CCAR submission.</w:t>
      </w:r>
    </w:p>
    <w:p>
      <w:pPr>
        <w:pStyle w:val="Normal"/>
        <w:spacing w:before="0" w:after="240"/>
        <w:rPr/>
      </w:pPr>
      <w:r>
        <w:rPr/>
      </w:r>
    </w:p>
    <w:p>
      <w:pPr>
        <w:pStyle w:val="Normal"/>
        <w:spacing w:before="0" w:after="120"/>
        <w:rPr/>
      </w:pPr>
      <w:r>
        <w:rPr>
          <w:b/>
          <w:bCs/>
        </w:rPr>
        <w:t>Report prepared using Python (NumPy, Pandas, Scikit-learn, Matplotlib), demonstrating proficiency in:</w:t>
      </w:r>
    </w:p>
    <w:p>
      <w:pPr>
        <w:pStyle w:val="ListParagraph"/>
        <w:numPr>
          <w:ilvl w:val="0"/>
          <w:numId w:val="1"/>
        </w:numPr>
        <w:rPr/>
      </w:pPr>
      <w:r>
        <w:rPr/>
        <w:t>Statistical modeling and machine learning</w:t>
      </w:r>
    </w:p>
    <w:p>
      <w:pPr>
        <w:pStyle w:val="ListParagraph"/>
        <w:numPr>
          <w:ilvl w:val="0"/>
          <w:numId w:val="1"/>
        </w:numPr>
        <w:rPr/>
      </w:pPr>
      <w:r>
        <w:rPr/>
        <w:t>Data visualization and presentation</w:t>
      </w:r>
    </w:p>
    <w:p>
      <w:pPr>
        <w:pStyle w:val="ListParagraph"/>
        <w:numPr>
          <w:ilvl w:val="0"/>
          <w:numId w:val="1"/>
        </w:numPr>
        <w:rPr/>
      </w:pPr>
      <w:r>
        <w:rPr/>
        <w:t>Financial risk analysis and stress testing</w:t>
      </w:r>
    </w:p>
    <w:p>
      <w:pPr>
        <w:pStyle w:val="ListParagraph"/>
        <w:numPr>
          <w:ilvl w:val="0"/>
          <w:numId w:val="1"/>
        </w:numPr>
        <w:rPr/>
      </w:pPr>
      <w:r>
        <w:rPr/>
        <w:t>Quantitative research and reporting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spacing w:before="480" w:after="240"/>
      <w:outlineLvl w:val="0"/>
    </w:pPr>
    <w:rPr>
      <w:rFonts w:ascii="Arial" w:hAnsi="Arial" w:eastAsia="Arial" w:cs="Arial"/>
      <w:b/>
      <w:bCs/>
      <w:color w:val="2E75B6"/>
      <w:sz w:val="32"/>
      <w:szCs w:val="32"/>
    </w:rPr>
  </w:style>
  <w:style w:type="paragraph" w:styleId="Heading2">
    <w:name w:val="heading 2"/>
    <w:basedOn w:val="Heading"/>
    <w:qFormat/>
    <w:pPr>
      <w:spacing w:before="360" w:after="180"/>
      <w:outlineLvl w:val="1"/>
    </w:pPr>
    <w:rPr>
      <w:rFonts w:ascii="Arial" w:hAnsi="Arial" w:eastAsia="Arial" w:cs="Arial"/>
      <w:b/>
      <w:bCs/>
      <w:color w:val="2E75B6"/>
      <w:sz w:val="28"/>
      <w:szCs w:val="28"/>
    </w:rPr>
  </w:style>
  <w:style w:type="paragraph" w:styleId="Heading3">
    <w:name w:val="heading 3"/>
    <w:basedOn w:val="Heading"/>
    <w:qFormat/>
    <w:pPr>
      <w:spacing w:before="280" w:after="140"/>
      <w:outlineLvl w:val="2"/>
    </w:pPr>
    <w:rPr>
      <w:rFonts w:ascii="Arial" w:hAnsi="Arial" w:eastAsia="Arial" w:cs="Arial"/>
      <w:b/>
      <w:bCs/>
      <w:color w:val="2E75B6"/>
      <w:sz w:val="26"/>
      <w:szCs w:val="26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LibreOffice/25.8.4.2$Linux_X86_64 LibreOffice_project/580$Build-2</Application>
  <AppVersion>15.0000</AppVersion>
  <Pages>9</Pages>
  <Words>1048</Words>
  <Characters>6766</Characters>
  <CharactersWithSpaces>7658</CharactersWithSpaces>
  <Paragraphs>123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2026-02-15T23:52:16Z</dcterms:created>
  <dc:creator>Un-named</dc:creator>
  <dc:description/>
  <dc:language>en-US</dc:language>
  <cp:lastModifiedBy/>
  <dcterms:modified xsi:type="dcterms:W3CDTF">2026-02-16T16:37:04Z</dcterms:modified>
  <cp:revision>2</cp:revision>
  <dc:subject/>
  <dc:title/>
</cp:coreProperties>
</file>