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jc w:val="center"/>
        <w:rPr/>
      </w:pPr>
      <w:r>
        <w:rPr>
          <w:b/>
          <w:bCs/>
          <w:color w:val="2E75B6"/>
          <w:sz w:val="48"/>
          <w:szCs w:val="48"/>
        </w:rPr>
        <w:t>Risk Assessment Report</w:t>
      </w:r>
    </w:p>
    <w:p>
      <w:pPr>
        <w:pStyle w:val="Normal"/>
        <w:spacing w:before="0" w:after="480"/>
        <w:jc w:val="center"/>
        <w:rPr/>
      </w:pPr>
      <w:r>
        <w:rPr>
          <w:color w:val="666666"/>
          <w:sz w:val="32"/>
          <w:szCs w:val="32"/>
        </w:rPr>
        <w:t>Case study on a synthetic loan book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9"/>
        <w:gridCol w:w="6241"/>
      </w:tblGrid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Project:</w:t>
            </w:r>
          </w:p>
        </w:tc>
        <w:tc>
          <w:tcPr>
            <w:tcW w:w="6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Portfolio credit risk (synthetic book)</w:t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Analyst:</w:t>
            </w:r>
          </w:p>
        </w:tc>
        <w:tc>
          <w:tcPr>
            <w:tcW w:w="6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Par Bahrae</w:t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Date:</w:t>
            </w:r>
          </w:p>
        </w:tc>
        <w:tc>
          <w:tcPr>
            <w:tcW w:w="6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February 15, 202</w:t>
            </w:r>
            <w:r>
              <w:rPr/>
              <w:t>3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1"/>
        <w:rPr/>
      </w:pPr>
      <w:r>
        <w:rPr/>
        <w:t>1. Summary</w:t>
      </w:r>
    </w:p>
    <w:p>
      <w:pPr>
        <w:pStyle w:val="Normal"/>
        <w:spacing w:before="0" w:after="180"/>
        <w:rPr/>
      </w:pPr>
      <w:r>
        <w:rPr/>
        <w:t>Notes on a synthetic book of 1,000 loans. The figures come from portfolio_data.csv and the code in this repository.</w:t>
      </w:r>
    </w:p>
    <w:p>
      <w:pPr>
        <w:pStyle w:val="ListParagraph"/>
        <w:numPr>
          <w:ilvl w:val="0"/>
          <w:numId w:val="4"/>
        </w:numPr>
        <w:rPr/>
      </w:pPr>
      <w:r>
        <w:rPr/>
        <w:t>Account PD from the in-sample scorecard</w:t>
      </w:r>
    </w:p>
    <w:p>
      <w:pPr>
        <w:pStyle w:val="ListParagraph"/>
        <w:numPr>
          <w:ilvl w:val="0"/>
          <w:numId w:val="1"/>
        </w:numPr>
        <w:rPr/>
      </w:pPr>
      <w:r>
        <w:rPr/>
        <w:t>A simulated credit-loss distribution under a stated LGD and correlation</w:t>
      </w:r>
    </w:p>
    <w:p>
      <w:pPr>
        <w:pStyle w:val="ListParagraph"/>
        <w:numPr>
          <w:ilvl w:val="0"/>
          <w:numId w:val="1"/>
        </w:numPr>
        <w:rPr/>
      </w:pPr>
      <w:r>
        <w:rPr/>
        <w:t>A borrower-earnings stress, kept separate from credit loss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What the file does not identify</w:t>
      </w:r>
    </w:p>
    <w:p>
      <w:pPr>
        <w:pStyle w:val="Normal"/>
        <w:spacing w:before="0" w:after="120"/>
        <w:rPr/>
      </w:pPr>
      <w:r>
        <w:rPr>
          <w:b/>
          <w:bCs/>
        </w:rPr>
        <w:t>Key Findings:</w:t>
      </w:r>
    </w:p>
    <w:p>
      <w:pPr>
        <w:pStyle w:val="ListParagraph"/>
        <w:numPr>
          <w:ilvl w:val="0"/>
          <w:numId w:val="1"/>
        </w:numPr>
        <w:rPr/>
      </w:pPr>
      <w:r>
        <w:rPr/>
        <w:t>Unweighted mean account PD is 29.80%; EAD-weighted PD is 17.23%</w:t>
      </w:r>
    </w:p>
    <w:p>
      <w:pPr>
        <w:pStyle w:val="ListParagraph"/>
        <w:numPr>
          <w:ilvl w:val="0"/>
          <w:numId w:val="1"/>
        </w:numPr>
        <w:rPr/>
      </w:pPr>
      <w:r>
        <w:rPr/>
        <w:t>Illustrative 95% credit-loss VaR is $9,526,628.91 (assumed LGD 45%, correlation 0.15)</w:t>
      </w:r>
    </w:p>
    <w:p>
      <w:pPr>
        <w:pStyle w:val="ListParagraph"/>
        <w:numPr>
          <w:ilvl w:val="0"/>
          <w:numId w:val="1"/>
        </w:numPr>
        <w:rPr/>
      </w:pPr>
      <w:r>
        <w:rPr/>
        <w:t>504 loans have PD above 20% (50.4% of count, 29.72% of EAD)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Combined borrower-earnings stress: aggregate net income -$12,559,240.00, which is not credit loss</w:t>
      </w:r>
    </w:p>
    <w:p>
      <w:pPr>
        <w:pStyle w:val="Heading1"/>
        <w:rPr/>
      </w:pPr>
      <w:r>
        <w:rPr/>
        <w:t>2. Methodology</w:t>
      </w:r>
    </w:p>
    <w:p>
      <w:pPr>
        <w:pStyle w:val="Heading2"/>
        <w:rPr/>
      </w:pPr>
      <w:r>
        <w:rPr/>
        <w:t>2.1 Loan file</w:t>
      </w:r>
    </w:p>
    <w:p>
      <w:pPr>
        <w:pStyle w:val="Normal"/>
        <w:spacing w:before="0" w:after="180"/>
        <w:rPr/>
      </w:pPr>
      <w:r>
        <w:rPr/>
        <w:t>The file has 1,000 loans. Total loan amount is $68,121,079.07.</w:t>
      </w:r>
    </w:p>
    <w:p>
      <w:pPr>
        <w:pStyle w:val="Normal"/>
        <w:spacing w:before="0" w:after="120"/>
        <w:rPr/>
      </w:pPr>
      <w:r>
        <w:rPr>
          <w:b/>
          <w:bCs/>
        </w:rPr>
        <w:t>Key columns analyzed:</w:t>
      </w:r>
    </w:p>
    <w:p>
      <w:pPr>
        <w:pStyle w:val="ListParagraph"/>
        <w:numPr>
          <w:ilvl w:val="0"/>
          <w:numId w:val="1"/>
        </w:numPr>
        <w:rPr/>
      </w:pPr>
      <w:r>
        <w:rPr/>
        <w:t>Credit Score (observed 421 to 850)</w:t>
      </w:r>
    </w:p>
    <w:p>
      <w:pPr>
        <w:pStyle w:val="ListParagraph"/>
        <w:numPr>
          <w:ilvl w:val="0"/>
          <w:numId w:val="1"/>
        </w:numPr>
        <w:rPr/>
      </w:pPr>
      <w:r>
        <w:rPr/>
        <w:t>Loan Amount</w:t>
      </w:r>
    </w:p>
    <w:p>
      <w:pPr>
        <w:pStyle w:val="ListParagraph"/>
        <w:numPr>
          <w:ilvl w:val="0"/>
          <w:numId w:val="1"/>
        </w:numPr>
        <w:rPr/>
      </w:pPr>
      <w:r>
        <w:rPr/>
        <w:t>Operational risk score (0.0 to 98.9)</w:t>
      </w:r>
    </w:p>
    <w:p>
      <w:pPr>
        <w:pStyle w:val="ListParagraph"/>
        <w:numPr>
          <w:ilvl w:val="0"/>
          <w:numId w:val="1"/>
        </w:numPr>
        <w:rPr/>
      </w:pPr>
      <w:r>
        <w:rPr/>
        <w:t>Revenue and Expenses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Net Income</w:t>
      </w:r>
    </w:p>
    <w:p>
      <w:pPr>
        <w:pStyle w:val="Heading2"/>
        <w:rPr/>
      </w:pPr>
      <w:r>
        <w:rPr/>
        <w:t>2.2 Risk Quantification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Probability of Default (PD): </w:t>
      </w:r>
      <w:r>
        <w:rPr/>
        <w:t>in-sample logistic regression on credit score, loan amount, and operational risk. LGD is not observed; illustrative loss uses a constant 45% LGD. EAD is loan amount. EL = PD × LGD × EAD.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Value at Risk (VaR): </w:t>
      </w:r>
      <w:r>
        <w:rPr/>
        <w:t>Credit-loss VaR is a quantile of simulated portfolio loss. Borrower-income percentiles are reported separately and are not VaR.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Stress Tests: </w:t>
      </w:r>
      <w:r>
        <w:rPr/>
        <w:t>a 20% revenue drop and a 10% expense increase. This does not change PD or expected loss. Credit stress: systematic factor at its 5th percentile.</w:t>
      </w:r>
    </w:p>
    <w:p>
      <w:pPr>
        <w:pStyle w:val="Heading2"/>
        <w:rPr/>
      </w:pPr>
      <w:r>
        <w:rPr/>
        <w:t>2.3 Code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Python: </w:t>
      </w:r>
      <w:r>
        <w:rPr/>
        <w:t>Scikit-learn for logistic regression, NumPy/Pandas for data analysis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Visualization: </w:t>
      </w:r>
      <w:r>
        <w:rPr/>
        <w:t>Matplotlib and Seaborn for chart generation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 xml:space="preserve">SciPy: </w:t>
      </w:r>
      <w:r>
        <w:rPr/>
        <w:t>the Gaussian copula and the DeLong AUC interval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3. Analysis &amp; Results</w:t>
      </w:r>
    </w:p>
    <w:p>
      <w:pPr>
        <w:pStyle w:val="Heading2"/>
        <w:rPr/>
      </w:pPr>
      <w:r>
        <w:rPr/>
        <w:t>3.1 Probability of Default (PD)</w:t>
      </w:r>
    </w:p>
    <w:p>
      <w:pPr>
        <w:pStyle w:val="Normal"/>
        <w:spacing w:before="0" w:after="180"/>
        <w:rPr/>
      </w:pPr>
      <w:r>
        <w:rPr/>
        <w:t>The unweighted mean of in-sample account PDs is 29.80%. The EAD-weighted mean is 17.23% because higher-PD loans are smaller. These PDs are the full-sample logistic fit, not a holdout validation.</w:t>
      </w:r>
    </w:p>
    <w:p>
      <w:pPr>
        <w:pStyle w:val="ListParagraph"/>
        <w:numPr>
          <w:ilvl w:val="0"/>
          <w:numId w:val="1"/>
        </w:numPr>
        <w:rPr/>
      </w:pPr>
      <w:r>
        <w:rPr/>
        <w:t>504 loans have PD above 20% (50.4% of count and 29.72% of EAD)</w:t>
      </w:r>
    </w:p>
    <w:p>
      <w:pPr>
        <w:pStyle w:val="ListParagraph"/>
        <w:numPr>
          <w:ilvl w:val="0"/>
          <w:numId w:val="1"/>
        </w:numPr>
        <w:rPr/>
      </w:pPr>
      <w:r>
        <w:rPr/>
        <w:t>Strong negative correlation between credit score and default probability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Operational risk score is barely associated with default (correlation 0.02)</w:t>
      </w:r>
    </w:p>
    <w:p>
      <w:pPr>
        <w:pStyle w:val="Normal"/>
        <w:spacing w:before="0" w:after="120"/>
        <w:rPr/>
      </w:pPr>
      <w:r>
        <w:rPr>
          <w:b/>
          <w:bCs/>
        </w:rPr>
        <w:t>Figure 1: Distribution of Probability of Default</w:t>
      </w:r>
    </w:p>
    <w:p>
      <w:pPr>
        <w:pStyle w:val="Normal"/>
        <w:spacing w:before="0" w:after="240"/>
        <w:rPr/>
      </w:pPr>
      <w:r>
        <w:rPr/>
        <w:drawing>
          <wp:inline distT="0" distB="0" distL="0" distR="0">
            <wp:extent cx="4762500" cy="28575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b/>
          <w:bCs/>
        </w:rPr>
        <w:t>Figure 2: Credit Score vs Probability of Default</w:t>
      </w:r>
    </w:p>
    <w:p>
      <w:pPr>
        <w:pStyle w:val="Normal"/>
        <w:spacing w:before="0" w:after="360"/>
        <w:rPr/>
      </w:pPr>
      <w:r>
        <w:rPr/>
        <w:drawing>
          <wp:inline distT="0" distB="0" distL="0" distR="0">
            <wp:extent cx="4762500" cy="28575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3.2 Value at Risk (VaR)</w:t>
      </w:r>
    </w:p>
    <w:p>
      <w:pPr>
        <w:pStyle w:val="Normal"/>
        <w:spacing w:before="0" w:after="180"/>
        <w:rPr/>
      </w:pPr>
      <w:r>
        <w:rPr/>
        <w:t>The draft labeled two borrower-income percentiles as VaR. A loss VaR cannot be smaller at 99% than at 95%.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5th percentile of borrower net income: </w:t>
      </w:r>
      <w:r>
        <w:rPr/>
        <w:t>$43,146.55</w:t>
      </w:r>
    </w:p>
    <w:p>
      <w:pPr>
        <w:pStyle w:val="ListParagraph"/>
        <w:numPr>
          <w:ilvl w:val="0"/>
          <w:numId w:val="1"/>
        </w:numPr>
        <w:spacing w:before="0" w:after="180"/>
        <w:rPr/>
      </w:pPr>
      <w:r>
        <w:rPr>
          <w:b/>
          <w:bCs/>
        </w:rPr>
        <w:t xml:space="preserve">1st percentile of borrower net income: </w:t>
      </w:r>
      <w:r>
        <w:rPr/>
        <w:t>$25,890.70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Implication: </w:t>
      </w:r>
      <w:r>
        <w:rPr/>
        <w:t>Those income percentiles are dollars per borrower, not a portfolio credit loss. Under an assumed LGD of 45% and an asset correlation of 0.15 (20,000 draws, seed 42), illustrative portfolio credit-loss VaR is $9,526,628.91 at 95% and $11,936,201.30 at 99%. Expected loss on that assumption is $5,280,499.32. A bootstrap 95% interval for the Monte Carlo error is $9,436,973.61 to $9,622,340.47 at 95% and $11,768,211.11 to $12,085,866.62 at 99%. The copula has no tail dependence, and LGD does not worsen in the tail. LGD and correlation are not estimated from this file.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80"/>
        <w:rPr/>
      </w:pPr>
      <w:r>
        <w:rPr/>
        <w:t>3.3 Stress Test Outcomes</w:t>
      </w:r>
    </w:p>
    <w:p>
      <w:pPr>
        <w:pStyle w:val="Normal"/>
        <w:spacing w:before="0" w:after="240"/>
        <w:rPr/>
      </w:pPr>
      <w:r>
        <w:rPr/>
        <w:t>Revenue and expense shocks change aggregate borrower net income. They do not change PD or expected loss.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4680"/>
      </w:tblGrid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Aggregate borrower net income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Key Observations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0F0" w:val="clear"/>
          </w:tcPr>
          <w:p>
            <w:pPr>
              <w:pStyle w:val="Normal"/>
              <w:rPr/>
            </w:pPr>
            <w:r>
              <w:rPr/>
              <w:t>Base Case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0F0" w:val="clear"/>
          </w:tcPr>
          <w:p>
            <w:pPr>
              <w:pStyle w:val="Normal"/>
              <w:rPr/>
            </w:pPr>
            <w:r>
              <w:rPr/>
              <w:t>$124,207,710.82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0F0" w:val="clear"/>
          </w:tcPr>
          <w:p>
            <w:pPr>
              <w:pStyle w:val="Normal"/>
              <w:rPr/>
            </w:pPr>
            <w:r>
              <w:rPr/>
              <w:t>Revenue minus expenses. The Net_Income column sums to $124,207,710.74 ($0.08 rounding gap).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Revenue Down 20%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$24,749,229.55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Aggregate borrower net income falls 80.07%. The file has no segment column.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0F0" w:val="clear"/>
          </w:tcPr>
          <w:p>
            <w:pPr>
              <w:pStyle w:val="Normal"/>
              <w:rPr/>
            </w:pPr>
            <w:r>
              <w:rPr/>
              <w:t>Expenses Up 10%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0F0" w:val="clear"/>
          </w:tcPr>
          <w:p>
            <w:pPr>
              <w:pStyle w:val="Normal"/>
              <w:rPr/>
            </w:pPr>
            <w:r>
              <w:rPr/>
              <w:t>$86,899,241.27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0F0" w:val="clear"/>
          </w:tcPr>
          <w:p>
            <w:pPr>
              <w:pStyle w:val="Normal"/>
              <w:rPr/>
            </w:pPr>
            <w:r>
              <w:rPr/>
              <w:t>Aggregate borrower net income falls 30.04%. This is not lender profit.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E6E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Combined Stress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E6E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-$12,559,240.00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E6E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Aggregate borrower net income is negative. This is not expected credit loss.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Figure 3: Stress Test Scenario Comparison</w:t>
      </w:r>
    </w:p>
    <w:p>
      <w:pPr>
        <w:pStyle w:val="Normal"/>
        <w:spacing w:before="0" w:after="360"/>
        <w:rPr/>
      </w:pPr>
      <w:r>
        <w:rPr/>
        <w:drawing>
          <wp:inline distT="0" distB="0" distL="0" distR="0">
            <wp:extent cx="4762500" cy="28575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3.4 Operational Risk Highlights</w:t>
      </w:r>
    </w:p>
    <w:p>
      <w:pPr>
        <w:pStyle w:val="Normal"/>
        <w:spacing w:before="0" w:after="180"/>
        <w:rPr/>
      </w:pPr>
      <w:r>
        <w:rPr/>
        <w:t>Operational risk scores on this book: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Above 60: </w:t>
      </w:r>
      <w:r>
        <w:rPr/>
        <w:t>Customers with operational risk above 60 default at 29.67% (27 of 91), versus 29.81% (271 of 909) for the rest</w:t>
      </w:r>
    </w:p>
    <w:p>
      <w:pPr>
        <w:pStyle w:val="Normal"/>
        <w:spacing w:before="0" w:after="120"/>
        <w:rPr/>
      </w:pPr>
      <w:r>
        <w:rPr>
          <w:b/>
          <w:bCs/>
        </w:rPr>
        <w:t>Figure 4: High-PD concentration and operational-risk default rates</w:t>
      </w:r>
    </w:p>
    <w:p>
      <w:pPr>
        <w:pStyle w:val="Normal"/>
        <w:spacing w:before="0" w:after="360"/>
        <w:rPr/>
      </w:pPr>
      <w:r>
        <w:rPr/>
        <w:drawing>
          <wp:inline distT="0" distB="0" distL="0" distR="0">
            <wp:extent cx="4762500" cy="28575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4. Reading the results</w:t>
      </w:r>
    </w:p>
    <w:p>
      <w:pPr>
        <w:pStyle w:val="Normal"/>
        <w:spacing w:before="0" w:after="240"/>
        <w:rPr/>
      </w:pPr>
      <w:r>
        <w:rPr/>
        <w:t>The notes below are judgment. This file does not measure their effect.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High-PD loans</w:t>
      </w:r>
    </w:p>
    <w:p>
      <w:pPr>
        <w:pStyle w:val="Normal"/>
        <w:spacing w:before="0" w:after="180"/>
        <w:rPr/>
      </w:pPr>
      <w:r>
        <w:rPr/>
        <w:t xml:space="preserve">   </w:t>
      </w:r>
      <w:r>
        <w:rPr/>
        <w:t>Loans with PD above 20% are 50.4% of the count and 29.72% of EAD. A tighter screen on that band would be a policy choice. The file does not show what it would do to defaults.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Operational risk</w:t>
      </w:r>
    </w:p>
    <w:p>
      <w:pPr>
        <w:pStyle w:val="Normal"/>
        <w:spacing w:before="0" w:after="180"/>
        <w:rPr/>
      </w:pPr>
      <w:r>
        <w:rPr/>
        <w:t xml:space="preserve">   </w:t>
      </w:r>
      <w:r>
        <w:rPr/>
        <w:t>An operational risk score above 60 is not a default screen on this book. That band defaults at the same rate as the rest (27 of 91).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Credit loss and earnings</w:t>
      </w:r>
    </w:p>
    <w:p>
      <w:pPr>
        <w:pStyle w:val="Normal"/>
        <w:spacing w:before="0" w:after="180"/>
        <w:rPr/>
      </w:pPr>
      <w:r>
        <w:rPr/>
        <w:t xml:space="preserve">   </w:t>
      </w:r>
      <w:r>
        <w:rPr/>
        <w:t>Size any capital buffer from credit-loss expected loss and VaR. Those figures depend on an LGD and a correlation this file does not contain. Do not size the buffer from the borrower-income stress.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Concentration</w:t>
      </w:r>
    </w:p>
    <w:p>
      <w:pPr>
        <w:pStyle w:val="Normal"/>
        <w:spacing w:before="0" w:after="180"/>
        <w:rPr/>
      </w:pPr>
      <w:r>
        <w:rPr/>
        <w:t xml:space="preserve">   </w:t>
      </w:r>
      <w:r>
        <w:rPr/>
        <w:t>High-PD loans are 50.4% of count and 29.72% of EAD. The exposure share is the concentration figure. The file does not identify a cap.</w:t>
      </w:r>
    </w:p>
    <w:p>
      <w:pPr>
        <w:pStyle w:val="Heading1"/>
        <w:rPr/>
      </w:pPr>
      <w:r>
        <w:rPr/>
        <w:t>5. Conclusion</w:t>
      </w:r>
    </w:p>
    <w:p>
      <w:pPr>
        <w:pStyle w:val="Normal"/>
        <w:spacing w:before="0" w:after="180"/>
        <w:rPr/>
      </w:pPr>
      <w:r>
        <w:rPr/>
        <w:t>On this book:</w:t>
      </w:r>
    </w:p>
    <w:p>
      <w:pPr>
        <w:pStyle w:val="ListParagraph"/>
        <w:numPr>
          <w:ilvl w:val="0"/>
          <w:numId w:val="1"/>
        </w:numPr>
        <w:rPr/>
      </w:pPr>
      <w:r>
        <w:rPr/>
        <w:t>Unweighted mean PD is 29.80%. EAD-weighted PD is 17.23%, because higher-PD loans are smaller.</w:t>
      </w:r>
    </w:p>
    <w:p>
      <w:pPr>
        <w:pStyle w:val="ListParagraph"/>
        <w:numPr>
          <w:ilvl w:val="0"/>
          <w:numId w:val="1"/>
        </w:numPr>
        <w:rPr/>
      </w:pPr>
      <w:r>
        <w:rPr/>
        <w:t>Combined, aggregate borrower net income is -$12,559,240.00. That figure is not credit loss.</w:t>
      </w:r>
    </w:p>
    <w:p>
      <w:pPr>
        <w:pStyle w:val="ListParagraph"/>
        <w:numPr>
          <w:ilvl w:val="0"/>
          <w:numId w:val="1"/>
        </w:numPr>
        <w:rPr/>
      </w:pPr>
      <w:r>
        <w:rPr/>
        <w:t>Credit score, not operational risk, is the variable associated with default</w:t>
      </w:r>
    </w:p>
    <w:p>
      <w:pPr>
        <w:pStyle w:val="Normal"/>
        <w:spacing w:before="0" w:after="240"/>
        <w:rPr/>
      </w:pPr>
      <w:r>
        <w:rPr/>
        <w:t>The PD model is an in-sample logistic regression. Credit-loss VaR here is a simulated loss quantile under stated assumptions, not a Basel capital number. Borrower earnings stress is reported separately from expected loss.</w:t>
      </w:r>
    </w:p>
    <w:p>
      <w:pPr>
        <w:pStyle w:val="Normal"/>
        <w:spacing w:before="0" w:after="360"/>
        <w:rPr/>
      </w:pPr>
      <w:r>
        <w:rPr/>
        <w:t>The draft assigned the recommendations a PD reduction and a stress improvement. Those effects were not estimated, and they are not reported here.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Appendix: Technical Notes</w:t>
      </w:r>
    </w:p>
    <w:p>
      <w:pPr>
        <w:pStyle w:val="Heading2"/>
        <w:rPr/>
      </w:pPr>
      <w:r>
        <w:rPr/>
        <w:t>A. Model Specifications</w:t>
      </w:r>
    </w:p>
    <w:p>
      <w:pPr>
        <w:pStyle w:val="Normal"/>
        <w:spacing w:before="0" w:after="120"/>
        <w:rPr/>
      </w:pPr>
      <w:r>
        <w:rPr>
          <w:b/>
          <w:bCs/>
        </w:rPr>
        <w:t>Logistic Regression Model:</w:t>
      </w:r>
    </w:p>
    <w:p>
      <w:pPr>
        <w:pStyle w:val="Normal"/>
        <w:spacing w:before="0" w:after="120"/>
        <w:rPr/>
      </w:pPr>
      <w:r>
        <w:rPr/>
        <w:t>The probability of default model uses the following specification:</w:t>
      </w:r>
    </w:p>
    <w:p>
      <w:pPr>
        <w:pStyle w:val="Normal"/>
        <w:spacing w:before="0" w:after="180"/>
        <w:rPr/>
      </w:pPr>
      <w:r>
        <w:rPr/>
        <w:t>P(Default) = 1 / (1 + e^-(β₀ + β₁·CreditScore + β₂·LoanAmount + β₃·OpRiskScore))</w:t>
      </w:r>
    </w:p>
    <w:p>
      <w:pPr>
        <w:pStyle w:val="Normal"/>
        <w:spacing w:before="0" w:after="240"/>
        <w:rPr/>
      </w:pPr>
      <w:r>
        <w:rPr/>
        <w:t>The published PD is the in-sample fit. Operational risk is not a multiplier on this book. Out-of-fold AUC is 0.852 (DeLong 95% CI 0.828 to 0.877). A credit-score-only model has out-of-fold AUC 0.853, and that difference includes zero. Loan amount is collinear with credit score (correlation 0.92); its positive coefficient is not a standalone size effect. Exact probability-scale Shapley values attribute the score mainly to credit score; the loan-amount piece follows that partial coefficient, not the raw association with default.</w:t>
      </w:r>
    </w:p>
    <w:p>
      <w:pPr>
        <w:pStyle w:val="Heading2"/>
        <w:rPr/>
      </w:pPr>
      <w:r>
        <w:rPr/>
        <w:t>B. Data Summary Statistics</w:t>
      </w:r>
    </w:p>
    <w:p>
      <w:pPr>
        <w:pStyle w:val="Normal"/>
        <w:spacing w:before="0" w:after="120"/>
        <w:rPr/>
      </w:pPr>
      <w:r>
        <w:rPr>
          <w:b/>
          <w:bCs/>
        </w:rPr>
        <w:t>Portfolio Characteristics:</w:t>
      </w:r>
    </w:p>
    <w:p>
      <w:pPr>
        <w:pStyle w:val="ListParagraph"/>
        <w:numPr>
          <w:ilvl w:val="0"/>
          <w:numId w:val="1"/>
        </w:numPr>
        <w:rPr/>
      </w:pPr>
      <w:r>
        <w:rPr/>
        <w:t>Total Loans: 1,000</w:t>
      </w:r>
    </w:p>
    <w:p>
      <w:pPr>
        <w:pStyle w:val="ListParagraph"/>
        <w:numPr>
          <w:ilvl w:val="0"/>
          <w:numId w:val="1"/>
        </w:numPr>
        <w:rPr/>
      </w:pPr>
      <w:r>
        <w:rPr/>
        <w:t>Total Loan Amount: $68,121,079.07</w:t>
      </w:r>
    </w:p>
    <w:p>
      <w:pPr>
        <w:pStyle w:val="ListParagraph"/>
        <w:numPr>
          <w:ilvl w:val="0"/>
          <w:numId w:val="1"/>
        </w:numPr>
        <w:rPr/>
      </w:pPr>
      <w:r>
        <w:rPr/>
        <w:t>Average Credit Score: 681.0</w:t>
      </w:r>
    </w:p>
    <w:p>
      <w:pPr>
        <w:pStyle w:val="ListParagraph"/>
        <w:numPr>
          <w:ilvl w:val="0"/>
          <w:numId w:val="1"/>
        </w:numPr>
        <w:rPr/>
      </w:pPr>
      <w:r>
        <w:rPr/>
        <w:t>Total Portfolio Revenue: $497,292,406.34</w:t>
      </w:r>
    </w:p>
    <w:p>
      <w:pPr>
        <w:pStyle w:val="ListParagraph"/>
        <w:numPr>
          <w:ilvl w:val="0"/>
          <w:numId w:val="1"/>
        </w:numPr>
        <w:rPr/>
      </w:pPr>
      <w:r>
        <w:rPr/>
        <w:t>Total Portfolio Expenses: $373,084,695.52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Sum of the Net_Income column: $124,207,710.74. Revenue minus expenses is $124,207,710.82.</w:t>
      </w:r>
    </w:p>
    <w:p>
      <w:pPr>
        <w:pStyle w:val="Heading2"/>
        <w:rPr/>
      </w:pPr>
      <w:r>
        <w:rPr/>
        <w:t>C. Methodology Validation</w:t>
      </w:r>
    </w:p>
    <w:p>
      <w:pPr>
        <w:pStyle w:val="Normal"/>
        <w:spacing w:before="0" w:after="180"/>
        <w:rPr/>
      </w:pPr>
      <w:r>
        <w:rPr/>
        <w:t>Notes on the methods: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Scorecard: </w:t>
      </w:r>
      <w:r>
        <w:rPr/>
        <w:t>unpenalized logistic regression on credit score, loan amount, and operational risk. The published PD is the in-sample fit, not a holdout.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Value at Risk: </w:t>
      </w:r>
      <w:r>
        <w:rPr/>
        <w:t>a loss quantile. The illustrative figure is not regulatory capital.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Stress Testing: </w:t>
      </w:r>
      <w:r>
        <w:rPr/>
        <w:t>borrower earnings shocks are separate from the credit-loss simulation.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Charts and the numerical note are written by the Python code in this repository.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480" w:after="24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"/>
    <w:basedOn w:val="Heading"/>
    <w:qFormat/>
    <w:pPr>
      <w:spacing w:before="360" w:after="1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80" w:after="140"/>
      <w:outlineLvl w:val="2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9</Pages>
  <Words>1048</Words>
  <Characters>6766</Characters>
  <CharactersWithSpaces>7658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2026-02-15T23:52:16Z</dcterms:created>
  <dc:creator>Par Bahrae</dc:creator>
  <dc:description/>
  <dc:language>en-US</dc:language>
  <cp:lastModifiedBy/>
  <dcterms:modified xsi:type="dcterms:W3CDTF">2026-02-16T16:37:04Z</dcterms:modified>
  <cp:revision>2</cp:revision>
  <dc:subject/>
  <dc:title/>
</cp:coreProperties>
</file>