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 xml:space="preserve">今天把侧边栏的功能全部开发完成，由于socket接口还未出所以明天主要开发周边功能。        </w:t>
      </w:r>
    </w:p>
    <w:p>
      <w:pPr>
        <w:ind w:firstLine="420" w:firstLineChars="0"/>
        <w:rPr>
          <w:rFonts w:hint="eastAsia"/>
          <w:lang w:val="en-US" w:eastAsia="zh-CN"/>
        </w:rPr>
      </w:pPr>
      <w:r>
        <w:rPr>
          <w:rFonts w:hint="eastAsia"/>
          <w:lang w:val="en-US" w:eastAsia="zh-CN"/>
        </w:rPr>
        <w:t xml:space="preserve">                                                     Wife 代写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A1E3A7F"/>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390</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2018-08-21T13:06:48Z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