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1A6B5C"/>
          <w:sz w:val="72"/>
          <w:szCs w:val="72"/>
        </w:rPr>
        <w:t xml:space="preserve">VITALOG</w:t>
      </w:r>
    </w:p>
    <w:p>
      <w:pPr>
        <w:spacing w:before="80" w:after="0"/>
      </w:pPr>
      <w:r>
        <w:rPr>
          <w:rFonts w:ascii="Arial" w:cs="Arial" w:eastAsia="Arial" w:hAnsi="Arial"/>
          <w:i/>
          <w:iCs/>
          <w:color w:val="6B7280"/>
          <w:sz w:val="36"/>
          <w:szCs w:val="36"/>
        </w:rPr>
        <w:t xml:space="preserve">Your Health, Understood.</w:t>
      </w:r>
    </w:p>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5C" w:val="clear"/>
            <w:tcMar>
              <w:top w:type="dxa" w:w="280"/>
              <w:left w:type="dxa" w:w="360"/>
              <w:bottom w:type="dxa" w:w="280"/>
              <w:right w:type="dxa" w:w="360"/>
            </w:tcMar>
          </w:tcPr>
          <w:p>
            <w:pPr>
              <w:spacing w:before="0" w:after="80"/>
            </w:pPr>
            <w:r>
              <w:rPr>
                <w:rFonts w:ascii="Arial" w:cs="Arial" w:eastAsia="Arial" w:hAnsi="Arial"/>
                <w:b/>
                <w:bCs/>
                <w:color w:val="FFFFFF"/>
                <w:sz w:val="28"/>
                <w:szCs w:val="28"/>
              </w:rPr>
              <w:t xml:space="preserve">Product Requirements Document</w:t>
            </w:r>
          </w:p>
          <w:p>
            <w:pPr>
              <w:spacing w:before="0" w:after="80"/>
            </w:pPr>
            <w:r>
              <w:rPr>
                <w:rFonts w:ascii="Arial" w:cs="Arial" w:eastAsia="Arial" w:hAnsi="Arial"/>
                <w:color w:val="C8E6E0"/>
                <w:sz w:val="22"/>
                <w:szCs w:val="22"/>
              </w:rPr>
              <w:t xml:space="preserve">Version 1.0   |   Q2 2025   |   For Internal Use Only</w:t>
            </w:r>
          </w:p>
          <w:p>
            <w:pPr>
              <w:spacing w:before="0" w:after="0"/>
            </w:pPr>
            <w:r>
              <w:rPr>
                <w:rFonts w:ascii="Arial" w:cs="Arial" w:eastAsia="Arial" w:hAnsi="Arial"/>
                <w:color w:val="C8E6E0"/>
                <w:sz w:val="22"/>
                <w:szCs w:val="22"/>
              </w:rPr>
              <w:t xml:space="preserve">Status: Draft</w:t>
            </w:r>
          </w:p>
        </w:tc>
      </w:tr>
    </w:tbl>
    <w:p>
      <w:pPr>
        <w:spacing w:before="480" w:after="0"/>
      </w:pPr>
      <w:r>
        <w:t xml:space="preserve"/>
      </w:r>
    </w:p>
    <w:p>
      <w:pPr>
        <w:spacing w:before="0" w:after="80"/>
      </w:pPr>
      <w:r>
        <w:rPr>
          <w:rFonts w:ascii="Arial" w:cs="Arial" w:eastAsia="Arial" w:hAnsi="Arial"/>
          <w:b/>
          <w:bCs/>
          <w:caps/>
          <w:color w:val="6B7280"/>
          <w:sz w:val="22"/>
          <w:szCs w:val="22"/>
        </w:rPr>
        <w:t xml:space="preserve">One Line Vision</w:t>
      </w:r>
    </w:p>
    <w:p>
      <w:pPr>
        <w:spacing w:before="0" w:after="0" w:line="360"/>
      </w:pPr>
      <w:r>
        <w:rPr>
          <w:rFonts w:ascii="Arial" w:cs="Arial" w:eastAsia="Arial" w:hAnsi="Arial"/>
          <w:i/>
          <w:iCs/>
          <w:color w:val="1A1A2E"/>
          <w:sz w:val="24"/>
          <w:szCs w:val="24"/>
        </w:rPr>
        <w:t xml:space="preserve">Vitalog is an AI-powered personal health intelligence platform that transforms fragmented medical documents into a clear, longitudinal, and understandable health narrative — so every Indian can walk into a doctor's appointment fully informed.</w:t>
      </w:r>
    </w:p>
    <w:p>
      <w:r>
        <w:br w:type="page"/>
      </w:r>
    </w:p>
    <w:p>
      <w:pPr>
        <w:spacing w:before="480" w:after="120"/>
      </w:pPr>
      <w:r>
        <w:rPr>
          <w:rFonts w:ascii="Arial" w:cs="Arial" w:eastAsia="Arial" w:hAnsi="Arial"/>
          <w:b/>
          <w:bCs/>
          <w:caps/>
          <w:color w:val="1A6B5C"/>
          <w:sz w:val="18"/>
          <w:szCs w:val="18"/>
        </w:rPr>
        <w:t xml:space="preserve">● Section 1</w:t>
      </w:r>
    </w:p>
    <w:p>
      <w:pPr>
        <w:pStyle w:val="Heading1"/>
        <w:spacing w:before="480" w:after="160"/>
      </w:pPr>
      <w:r>
        <w:rPr>
          <w:rFonts w:ascii="Arial" w:cs="Arial" w:eastAsia="Arial" w:hAnsi="Arial"/>
          <w:b/>
          <w:bCs/>
          <w:color w:val="1A1A2E"/>
          <w:sz w:val="36"/>
          <w:szCs w:val="36"/>
        </w:rPr>
        <w:t xml:space="preserve">Executive Summary</w:t>
      </w:r>
    </w:p>
    <w:p>
      <w:pPr>
        <w:spacing w:before="80" w:after="80" w:line="360"/>
      </w:pPr>
      <w:r>
        <w:rPr>
          <w:rFonts w:ascii="Arial" w:cs="Arial" w:eastAsia="Arial" w:hAnsi="Arial"/>
          <w:b w:val="false"/>
          <w:bCs w:val="false"/>
          <w:i w:val="false"/>
          <w:iCs w:val="false"/>
          <w:color w:val="1A1A2E"/>
          <w:sz w:val="22"/>
          <w:szCs w:val="22"/>
        </w:rPr>
        <w:t xml:space="preserve">Vitalog solves a simple but deeply painful problem: most people in India cannot understand their own medical reports. They collect lab results, discharge summaries, and prescriptions across email, WhatsApp, and physical folders — but have no unified, comprehensible view of their health over time.</w:t>
      </w:r>
    </w:p>
    <w:p>
      <w:pPr>
        <w:spacing w:before="120" w:after="0"/>
      </w:pPr>
      <w:r>
        <w:t xml:space="preserve"/>
      </w:r>
    </w:p>
    <w:p>
      <w:pPr>
        <w:spacing w:before="80" w:after="80" w:line="360"/>
      </w:pPr>
      <w:r>
        <w:rPr>
          <w:rFonts w:ascii="Arial" w:cs="Arial" w:eastAsia="Arial" w:hAnsi="Arial"/>
          <w:b w:val="false"/>
          <w:bCs w:val="false"/>
          <w:i w:val="false"/>
          <w:iCs w:val="false"/>
          <w:color w:val="1A1A2E"/>
          <w:sz w:val="22"/>
          <w:szCs w:val="22"/>
        </w:rPr>
        <w:t xml:space="preserve">The result is fragmented care, uninformed doctor visits, and a passive relationship with one's own health. Vitalog changes this by combining secure document storage with AI-powered plain language explanation and longitudinal trend analysis — turning a pile of PDFs into a living, understandable health timeline.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C" w:sz="8"/>
              <w:left w:val="single" w:color="1A6B5C" w:sz="20"/>
              <w:bottom w:val="single" w:color="DDDDDD" w:sz="1"/>
              <w:right w:val="single" w:color="DDDDDD" w:sz="1"/>
            </w:tcBorders>
            <w:shd w:fill="E8F5F3" w:val="clear"/>
            <w:tcMar>
              <w:top w:type="dxa" w:w="160"/>
              <w:left w:type="dxa" w:w="200"/>
              <w:bottom w:type="dxa" w:w="160"/>
              <w:right w:type="dxa" w:w="200"/>
            </w:tcMar>
          </w:tcPr>
          <w:p>
            <w:pPr>
              <w:spacing w:before="0" w:after="60"/>
            </w:pPr>
            <w:r>
              <w:rPr>
                <w:rFonts w:ascii="Arial" w:cs="Arial" w:eastAsia="Arial" w:hAnsi="Arial"/>
                <w:b/>
                <w:bCs/>
                <w:color w:val="1A6B5C"/>
                <w:sz w:val="20"/>
                <w:szCs w:val="20"/>
              </w:rPr>
              <w:t xml:space="preserve">The Core Insight</w:t>
            </w:r>
          </w:p>
          <w:p>
            <w:pPr>
              <w:spacing w:before="0" w:after="0" w:line="320"/>
            </w:pPr>
            <w:r>
              <w:rPr>
                <w:rFonts w:ascii="Arial" w:cs="Arial" w:eastAsia="Arial" w:hAnsi="Arial"/>
                <w:color w:val="1A1A2E"/>
                <w:sz w:val="21"/>
                <w:szCs w:val="21"/>
              </w:rPr>
              <w:t xml:space="preserve">Eka Care stores your health records. Vitalog makes you understand them. Storage is a commodity. Comprehension is the moat.</w:t>
            </w:r>
          </w:p>
        </w:tc>
      </w:tr>
    </w:tbl>
    <w:p>
      <w:pPr>
        <w:spacing w:before="200" w:after="0"/>
      </w:pPr>
      <w:r>
        <w:t xml:space="preserve"/>
      </w:r>
    </w:p>
    <w:p>
      <w:pPr>
        <w:pStyle w:val="Heading3"/>
        <w:spacing w:before="280" w:after="80"/>
      </w:pPr>
      <w:r>
        <w:rPr>
          <w:rFonts w:ascii="Arial" w:cs="Arial" w:eastAsia="Arial" w:hAnsi="Arial"/>
          <w:b/>
          <w:bCs/>
          <w:color w:val="1A1A2E"/>
          <w:sz w:val="24"/>
          <w:szCs w:val="24"/>
        </w:rPr>
        <w:t xml:space="preserve">Target Market</w:t>
      </w:r>
    </w:p>
    <w:p>
      <w:pPr>
        <w:spacing w:before="80" w:after="80" w:line="360"/>
      </w:pPr>
      <w:r>
        <w:rPr>
          <w:rFonts w:ascii="Arial" w:cs="Arial" w:eastAsia="Arial" w:hAnsi="Arial"/>
          <w:b w:val="false"/>
          <w:bCs w:val="false"/>
          <w:i w:val="false"/>
          <w:iCs w:val="false"/>
          <w:color w:val="1A1A2E"/>
          <w:sz w:val="22"/>
          <w:szCs w:val="22"/>
        </w:rPr>
        <w:t xml:space="preserve">Primary: Urban Indian professionals aged 25–40, managing their own health and often their parents' health simultaneously. English-comfortable, digitally fluent, already feeling the pain of fragmented health documents.</w:t>
      </w:r>
    </w:p>
    <w:p>
      <w:pPr>
        <w:spacing w:before="80" w:after="0"/>
      </w:pPr>
      <w:r>
        <w:t xml:space="preserve"/>
      </w:r>
    </w:p>
    <w:p>
      <w:pPr>
        <w:spacing w:before="80" w:after="80" w:line="360"/>
      </w:pPr>
      <w:r>
        <w:rPr>
          <w:rFonts w:ascii="Arial" w:cs="Arial" w:eastAsia="Arial" w:hAnsi="Arial"/>
          <w:b w:val="false"/>
          <w:bCs w:val="false"/>
          <w:i w:val="false"/>
          <w:iCs w:val="false"/>
          <w:color w:val="1A1A2E"/>
          <w:sz w:val="22"/>
          <w:szCs w:val="22"/>
        </w:rPr>
        <w:t xml:space="preserve">Secondary (post-PMF): Tier 2 city users, vernacular language speakers, chronic disease patients requiring frequent monitoring.</w:t>
      </w:r>
    </w:p>
    <w:p>
      <w:pPr>
        <w:spacing w:before="200" w:after="0"/>
      </w:pPr>
      <w:r>
        <w:t xml:space="preserve"/>
      </w:r>
    </w:p>
    <w:p>
      <w:pPr>
        <w:pStyle w:val="Heading3"/>
        <w:spacing w:before="280" w:after="80"/>
      </w:pPr>
      <w:r>
        <w:rPr>
          <w:rFonts w:ascii="Arial" w:cs="Arial" w:eastAsia="Arial" w:hAnsi="Arial"/>
          <w:b/>
          <w:bCs/>
          <w:color w:val="1A1A2E"/>
          <w:sz w:val="24"/>
          <w:szCs w:val="24"/>
        </w:rPr>
        <w:t xml:space="preserve">Key Metrics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Target (Month 3)</w:t>
            </w:r>
          </w:p>
        </w:tc>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Target (Month 6)</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Registered Users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Paying Users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Reports Uploaded</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2,000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12,000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Upload → Return Rate</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&gt;40%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&gt;55%</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MRR</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₹9,950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₹59,700</w:t>
            </w:r>
          </w:p>
        </w:tc>
      </w:tr>
    </w:tbl>
    <w:p>
      <w:r>
        <w:br w:type="page"/>
      </w:r>
    </w:p>
    <w:p>
      <w:pPr>
        <w:spacing w:before="480" w:after="120"/>
      </w:pPr>
      <w:r>
        <w:rPr>
          <w:rFonts w:ascii="Arial" w:cs="Arial" w:eastAsia="Arial" w:hAnsi="Arial"/>
          <w:b/>
          <w:bCs/>
          <w:caps/>
          <w:color w:val="1A6B5C"/>
          <w:sz w:val="18"/>
          <w:szCs w:val="18"/>
        </w:rPr>
        <w:t xml:space="preserve">● Section 2</w:t>
      </w:r>
    </w:p>
    <w:p>
      <w:pPr>
        <w:pStyle w:val="Heading1"/>
        <w:spacing w:before="480" w:after="160"/>
      </w:pPr>
      <w:r>
        <w:rPr>
          <w:rFonts w:ascii="Arial" w:cs="Arial" w:eastAsia="Arial" w:hAnsi="Arial"/>
          <w:b/>
          <w:bCs/>
          <w:color w:val="1A1A2E"/>
          <w:sz w:val="36"/>
          <w:szCs w:val="36"/>
        </w:rPr>
        <w:t xml:space="preserve">Problem Statement</w:t>
      </w:r>
    </w:p>
    <w:p>
      <w:pPr>
        <w:pStyle w:val="Heading2"/>
        <w:pBdr>
          <w:bottom w:val="single" w:color="1A6B5C" w:sz="4" w:space="4"/>
        </w:pBdr>
        <w:spacing w:before="360" w:after="120"/>
      </w:pPr>
      <w:r>
        <w:rPr>
          <w:rFonts w:ascii="Arial" w:cs="Arial" w:eastAsia="Arial" w:hAnsi="Arial"/>
          <w:b/>
          <w:bCs/>
          <w:color w:val="1A6B5C"/>
          <w:sz w:val="28"/>
          <w:szCs w:val="28"/>
        </w:rPr>
        <w:t xml:space="preserve">The Pain</w:t>
      </w:r>
    </w:p>
    <w:p>
      <w:pPr>
        <w:spacing w:before="80" w:after="80" w:line="360"/>
      </w:pPr>
      <w:r>
        <w:rPr>
          <w:rFonts w:ascii="Arial" w:cs="Arial" w:eastAsia="Arial" w:hAnsi="Arial"/>
          <w:b w:val="false"/>
          <w:bCs w:val="false"/>
          <w:i w:val="false"/>
          <w:iCs w:val="false"/>
          <w:color w:val="1A1A2E"/>
          <w:sz w:val="22"/>
          <w:szCs w:val="22"/>
        </w:rPr>
        <w:t xml:space="preserve">Every year, millions of Indians undergo health checkups, blood tests, and diagnostic procedures. The reports they receive are dense, jargon-heavy, and immediately filed away — on WhatsApp, in Google Drive folders, or in physical envelopes. When a doctor asks for previous reports, the patient scrambles. When a value changes meaningfully between two tests, nobody notices. When something is quietly trending in the wrong direction, there is no system to catch it.</w:t>
      </w:r>
    </w:p>
    <w:p>
      <w:pPr>
        <w:spacing w:before="120" w:after="0"/>
      </w:pPr>
      <w:r>
        <w:t xml:space="preserve"/>
      </w:r>
    </w:p>
    <w:p>
      <w:pPr>
        <w:spacing w:before="80" w:after="80" w:line="360"/>
      </w:pPr>
      <w:r>
        <w:rPr>
          <w:rFonts w:ascii="Arial" w:cs="Arial" w:eastAsia="Arial" w:hAnsi="Arial"/>
          <w:b w:val="false"/>
          <w:bCs w:val="false"/>
          <w:i w:val="false"/>
          <w:iCs w:val="false"/>
          <w:color w:val="1A1A2E"/>
          <w:sz w:val="22"/>
          <w:szCs w:val="22"/>
        </w:rPr>
        <w:t xml:space="preserve">This is not a niche problem. It is the default experience for every patient in a fragmented, provider-centric healthcare system.</w:t>
      </w:r>
    </w:p>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Root Causes</w:t>
      </w:r>
    </w:p>
    <w:p>
      <w:pPr>
        <w:pStyle w:val="ListParagraph"/>
        <w:numPr>
          <w:ilvl w:val="0"/>
          <w:numId w:val="2"/>
        </w:numPr>
        <w:spacing w:before="60" w:after="60" w:line="320"/>
      </w:pPr>
      <w:r>
        <w:rPr>
          <w:rFonts w:ascii="Arial" w:cs="Arial" w:eastAsia="Arial" w:hAnsi="Arial"/>
          <w:color w:val="1A1A2E"/>
          <w:sz w:val="22"/>
          <w:szCs w:val="22"/>
        </w:rPr>
        <w:t xml:space="preserve">Reports are stored in multiple disconnected places — WhatsApp, email, clinic portals, physical folders</w:t>
      </w:r>
    </w:p>
    <w:p>
      <w:pPr>
        <w:pStyle w:val="ListParagraph"/>
        <w:numPr>
          <w:ilvl w:val="0"/>
          <w:numId w:val="2"/>
        </w:numPr>
        <w:spacing w:before="60" w:after="60" w:line="320"/>
      </w:pPr>
      <w:r>
        <w:rPr>
          <w:rFonts w:ascii="Arial" w:cs="Arial" w:eastAsia="Arial" w:hAnsi="Arial"/>
          <w:color w:val="1A1A2E"/>
          <w:sz w:val="22"/>
          <w:szCs w:val="22"/>
        </w:rPr>
        <w:t xml:space="preserve">Medical terminology is inaccessible to non-clinical users — most people cannot interpret their own CBC</w:t>
      </w:r>
    </w:p>
    <w:p>
      <w:pPr>
        <w:pStyle w:val="ListParagraph"/>
        <w:numPr>
          <w:ilvl w:val="0"/>
          <w:numId w:val="2"/>
        </w:numPr>
        <w:spacing w:before="60" w:after="60" w:line="320"/>
      </w:pPr>
      <w:r>
        <w:rPr>
          <w:rFonts w:ascii="Arial" w:cs="Arial" w:eastAsia="Arial" w:hAnsi="Arial"/>
          <w:color w:val="1A1A2E"/>
          <w:sz w:val="22"/>
          <w:szCs w:val="22"/>
        </w:rPr>
        <w:t xml:space="preserve">No longitudinal view exists — each report is treated as a standalone event, not part of a health timeline</w:t>
      </w:r>
    </w:p>
    <w:p>
      <w:pPr>
        <w:pStyle w:val="ListParagraph"/>
        <w:numPr>
          <w:ilvl w:val="0"/>
          <w:numId w:val="2"/>
        </w:numPr>
        <w:spacing w:before="60" w:after="60" w:line="320"/>
      </w:pPr>
      <w:r>
        <w:rPr>
          <w:rFonts w:ascii="Arial" w:cs="Arial" w:eastAsia="Arial" w:hAnsi="Arial"/>
          <w:color w:val="1A1A2E"/>
          <w:sz w:val="22"/>
          <w:szCs w:val="22"/>
        </w:rPr>
        <w:t xml:space="preserve">Existing solutions (Apollo 247, Practo, Eka Care) prioritise provider workflows over patient comprehension</w:t>
      </w:r>
    </w:p>
    <w:p>
      <w:pPr>
        <w:pStyle w:val="ListParagraph"/>
        <w:numPr>
          <w:ilvl w:val="0"/>
          <w:numId w:val="2"/>
        </w:numPr>
        <w:spacing w:before="60" w:after="60" w:line="320"/>
      </w:pPr>
      <w:r>
        <w:rPr>
          <w:rFonts w:ascii="Arial" w:cs="Arial" w:eastAsia="Arial" w:hAnsi="Arial"/>
          <w:color w:val="1A1A2E"/>
          <w:sz w:val="22"/>
          <w:szCs w:val="22"/>
        </w:rPr>
        <w:t xml:space="preserve">Government ABHA infrastructure is available but poorly surfaced in patient-friendly products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C" w:sz="8"/>
              <w:left w:val="single" w:color="1A6B5C" w:sz="20"/>
              <w:bottom w:val="single" w:color="DDDDDD" w:sz="1"/>
              <w:right w:val="single" w:color="DDDDDD" w:sz="1"/>
            </w:tcBorders>
            <w:shd w:fill="E8F5F3" w:val="clear"/>
            <w:tcMar>
              <w:top w:type="dxa" w:w="160"/>
              <w:left w:type="dxa" w:w="200"/>
              <w:bottom w:type="dxa" w:w="160"/>
              <w:right w:type="dxa" w:w="200"/>
            </w:tcMar>
          </w:tcPr>
          <w:p>
            <w:pPr>
              <w:spacing w:before="0" w:after="60"/>
            </w:pPr>
            <w:r>
              <w:rPr>
                <w:rFonts w:ascii="Arial" w:cs="Arial" w:eastAsia="Arial" w:hAnsi="Arial"/>
                <w:b/>
                <w:bCs/>
                <w:color w:val="1A6B5C"/>
                <w:sz w:val="20"/>
                <w:szCs w:val="20"/>
              </w:rPr>
              <w:t xml:space="preserve">Validated Pain Signal</w:t>
            </w:r>
          </w:p>
          <w:p>
            <w:pPr>
              <w:spacing w:before="0" w:after="0" w:line="320"/>
            </w:pPr>
            <w:r>
              <w:rPr>
                <w:rFonts w:ascii="Arial" w:cs="Arial" w:eastAsia="Arial" w:hAnsi="Arial"/>
                <w:color w:val="1A1A2E"/>
                <w:sz w:val="21"/>
                <w:szCs w:val="21"/>
              </w:rPr>
              <w:t xml:space="preserve">When asked 'what did you do with your last lab report after receiving it?', the expected answer from 70%+ of urban Indian professionals in the target ICP: photographed it, sent it to a family WhatsApp group, and never looked at it again.</w:t>
            </w:r>
          </w:p>
        </w:tc>
      </w:tr>
    </w:tbl>
    <w:p>
      <w:r>
        <w:br w:type="page"/>
      </w:r>
    </w:p>
    <w:p>
      <w:pPr>
        <w:spacing w:before="480" w:after="120"/>
      </w:pPr>
      <w:r>
        <w:rPr>
          <w:rFonts w:ascii="Arial" w:cs="Arial" w:eastAsia="Arial" w:hAnsi="Arial"/>
          <w:b/>
          <w:bCs/>
          <w:caps/>
          <w:color w:val="1A6B5C"/>
          <w:sz w:val="18"/>
          <w:szCs w:val="18"/>
        </w:rPr>
        <w:t xml:space="preserve">● Section 3</w:t>
      </w:r>
    </w:p>
    <w:p>
      <w:pPr>
        <w:pStyle w:val="Heading1"/>
        <w:spacing w:before="480" w:after="160"/>
      </w:pPr>
      <w:r>
        <w:rPr>
          <w:rFonts w:ascii="Arial" w:cs="Arial" w:eastAsia="Arial" w:hAnsi="Arial"/>
          <w:b/>
          <w:bCs/>
          <w:color w:val="1A1A2E"/>
          <w:sz w:val="36"/>
          <w:szCs w:val="36"/>
        </w:rPr>
        <w:t xml:space="preserve">Solution Overview</w:t>
      </w:r>
    </w:p>
    <w:p>
      <w:pPr>
        <w:pStyle w:val="Heading2"/>
        <w:pBdr>
          <w:bottom w:val="single" w:color="1A6B5C" w:sz="4" w:space="4"/>
        </w:pBdr>
        <w:spacing w:before="360" w:after="120"/>
      </w:pPr>
      <w:r>
        <w:rPr>
          <w:rFonts w:ascii="Arial" w:cs="Arial" w:eastAsia="Arial" w:hAnsi="Arial"/>
          <w:b/>
          <w:bCs/>
          <w:color w:val="1A6B5C"/>
          <w:sz w:val="28"/>
          <w:szCs w:val="28"/>
        </w:rPr>
        <w:t xml:space="preserve">What Vitalog Does</w:t>
      </w:r>
    </w:p>
    <w:p>
      <w:pPr>
        <w:spacing w:before="80" w:after="80" w:line="360"/>
      </w:pPr>
      <w:r>
        <w:rPr>
          <w:rFonts w:ascii="Arial" w:cs="Arial" w:eastAsia="Arial" w:hAnsi="Arial"/>
          <w:b w:val="false"/>
          <w:bCs w:val="false"/>
          <w:i w:val="false"/>
          <w:iCs w:val="false"/>
          <w:color w:val="1A1A2E"/>
          <w:sz w:val="22"/>
          <w:szCs w:val="22"/>
        </w:rPr>
        <w:t xml:space="preserve">Vitalog is a web-first application (mobile to follow) that allows users to upload any health document — lab reports, prescriptions, discharge summaries, scan reports — and receive three things immediately:</w:t>
      </w:r>
    </w:p>
    <w:p>
      <w:pPr>
        <w:spacing w:before="120" w:after="0"/>
      </w:pPr>
      <w:r>
        <w:t xml:space="preserve"/>
      </w:r>
    </w:p>
    <w:p>
      <w:pPr>
        <w:pStyle w:val="ListParagraph"/>
        <w:numPr>
          <w:ilvl w:val="0"/>
          <w:numId w:val="2"/>
        </w:numPr>
        <w:spacing w:before="60" w:after="60" w:line="320"/>
      </w:pPr>
      <w:r>
        <w:rPr>
          <w:rFonts w:ascii="Arial" w:cs="Arial" w:eastAsia="Arial" w:hAnsi="Arial"/>
          <w:color w:val="1A1A2E"/>
          <w:sz w:val="22"/>
          <w:szCs w:val="22"/>
        </w:rPr>
        <w:t xml:space="preserve">A plain language explanation of what the document contains and what it means for their health</w:t>
      </w:r>
    </w:p>
    <w:p>
      <w:pPr>
        <w:pStyle w:val="ListParagraph"/>
        <w:numPr>
          <w:ilvl w:val="0"/>
          <w:numId w:val="2"/>
        </w:numPr>
        <w:spacing w:before="60" w:after="60" w:line="320"/>
      </w:pPr>
      <w:r>
        <w:rPr>
          <w:rFonts w:ascii="Arial" w:cs="Arial" w:eastAsia="Arial" w:hAnsi="Arial"/>
          <w:color w:val="1A1A2E"/>
          <w:sz w:val="22"/>
          <w:szCs w:val="22"/>
        </w:rPr>
        <w:t xml:space="preserve">Structured extraction of all key values, test names, units, and reference ranges</w:t>
      </w:r>
    </w:p>
    <w:p>
      <w:pPr>
        <w:pStyle w:val="ListParagraph"/>
        <w:numPr>
          <w:ilvl w:val="0"/>
          <w:numId w:val="2"/>
        </w:numPr>
        <w:spacing w:before="60" w:after="60" w:line="320"/>
      </w:pPr>
      <w:r>
        <w:rPr>
          <w:rFonts w:ascii="Arial" w:cs="Arial" w:eastAsia="Arial" w:hAnsi="Arial"/>
          <w:color w:val="1A1A2E"/>
          <w:sz w:val="22"/>
          <w:szCs w:val="22"/>
        </w:rPr>
        <w:t xml:space="preserve">Automatic comparison against previous reports, surfacing meaningful changes over time</w:t>
      </w:r>
    </w:p>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The Three Layers</w:t>
      </w:r>
    </w:p>
    <w:p>
      <w:pPr>
        <w:spacing w:before="80" w:after="0"/>
      </w:pPr>
      <w:r>
        <w:t xml:space="preserve"/>
      </w:r>
    </w:p>
    <w:p>
      <w:pPr>
        <w:pStyle w:val="Heading3"/>
        <w:spacing w:before="280" w:after="80"/>
      </w:pPr>
      <w:r>
        <w:rPr>
          <w:rFonts w:ascii="Arial" w:cs="Arial" w:eastAsia="Arial" w:hAnsi="Arial"/>
          <w:b/>
          <w:bCs/>
          <w:color w:val="1A1A2E"/>
          <w:sz w:val="24"/>
          <w:szCs w:val="24"/>
        </w:rPr>
        <w:t xml:space="preserve">Layer 1 — Document Intelligence</w:t>
      </w:r>
    </w:p>
    <w:p>
      <w:pPr>
        <w:spacing w:before="80" w:after="80" w:line="360"/>
      </w:pPr>
      <w:r>
        <w:rPr>
          <w:rFonts w:ascii="Arial" w:cs="Arial" w:eastAsia="Arial" w:hAnsi="Arial"/>
          <w:b w:val="false"/>
          <w:bCs w:val="false"/>
          <w:i w:val="false"/>
          <w:iCs w:val="false"/>
          <w:color w:val="1A1A2E"/>
          <w:sz w:val="22"/>
          <w:szCs w:val="22"/>
        </w:rPr>
        <w:t xml:space="preserve">Every uploaded document is processed by a Vision AI model that extracts structured health data from unstructured formats — printed lab reports, handwritten prescriptions, photographed paper documents, scanned PDFs. The extraction normalises values across naming conventions (Hb, Haemoglobin, HGB → one canonical field) and stores them in a structured database.</w:t>
      </w:r>
    </w:p>
    <w:p>
      <w:pPr>
        <w:spacing w:before="120" w:after="0"/>
      </w:pPr>
      <w:r>
        <w:t xml:space="preserve"/>
      </w:r>
    </w:p>
    <w:p>
      <w:pPr>
        <w:pStyle w:val="Heading3"/>
        <w:spacing w:before="280" w:after="80"/>
      </w:pPr>
      <w:r>
        <w:rPr>
          <w:rFonts w:ascii="Arial" w:cs="Arial" w:eastAsia="Arial" w:hAnsi="Arial"/>
          <w:b/>
          <w:bCs/>
          <w:color w:val="1A1A2E"/>
          <w:sz w:val="24"/>
          <w:szCs w:val="24"/>
        </w:rPr>
        <w:t xml:space="preserve">Layer 2 — Plain Language Comprehension</w:t>
      </w:r>
    </w:p>
    <w:p>
      <w:pPr>
        <w:spacing w:before="80" w:after="80" w:line="360"/>
      </w:pPr>
      <w:r>
        <w:rPr>
          <w:rFonts w:ascii="Arial" w:cs="Arial" w:eastAsia="Arial" w:hAnsi="Arial"/>
          <w:b w:val="false"/>
          <w:bCs w:val="false"/>
          <w:i w:val="false"/>
          <w:iCs w:val="false"/>
          <w:color w:val="1A1A2E"/>
          <w:sz w:val="22"/>
          <w:szCs w:val="22"/>
        </w:rPr>
        <w:t xml:space="preserve">Extracted values are processed through a carefully engineered AI prompt that generates a plain language explanation written for a non-medical reader. The explanation covers what was tested, what the results mean, what is within range, what is outside range, and what changes are meaningful. No diagnosis. No prescriptions. Clear information that empowers the user.</w:t>
      </w:r>
    </w:p>
    <w:p>
      <w:pPr>
        <w:spacing w:before="120" w:after="0"/>
      </w:pPr>
      <w:r>
        <w:t xml:space="preserve"/>
      </w:r>
    </w:p>
    <w:p>
      <w:pPr>
        <w:pStyle w:val="Heading3"/>
        <w:spacing w:before="280" w:after="80"/>
      </w:pPr>
      <w:r>
        <w:rPr>
          <w:rFonts w:ascii="Arial" w:cs="Arial" w:eastAsia="Arial" w:hAnsi="Arial"/>
          <w:b/>
          <w:bCs/>
          <w:color w:val="1A1A2E"/>
          <w:sz w:val="24"/>
          <w:szCs w:val="24"/>
        </w:rPr>
        <w:t xml:space="preserve">Layer 3 — Longitudinal Intelligence</w:t>
      </w:r>
    </w:p>
    <w:p>
      <w:pPr>
        <w:spacing w:before="80" w:after="80" w:line="360"/>
      </w:pPr>
      <w:r>
        <w:rPr>
          <w:rFonts w:ascii="Arial" w:cs="Arial" w:eastAsia="Arial" w:hAnsi="Arial"/>
          <w:b w:val="false"/>
          <w:bCs w:val="false"/>
          <w:i w:val="false"/>
          <w:iCs w:val="false"/>
          <w:color w:val="1A1A2E"/>
          <w:sz w:val="22"/>
          <w:szCs w:val="22"/>
        </w:rPr>
        <w:t xml:space="preserve">As a user uploads multiple reports over time, Vitalog builds a health timeline. Values are tracked across reports, trends are visualised as charts, and significant deltas are surfaced proactively. The product moves from reactive storage to proactive health awareness — noticing that ferritin has dropped 40% over 8 months before the user feels symptoms.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C" w:sz="8"/>
              <w:left w:val="single" w:color="1A6B5C" w:sz="20"/>
              <w:bottom w:val="single" w:color="DDDDDD" w:sz="1"/>
              <w:right w:val="single" w:color="DDDDDD" w:sz="1"/>
            </w:tcBorders>
            <w:shd w:fill="E8F5F3" w:val="clear"/>
            <w:tcMar>
              <w:top w:type="dxa" w:w="160"/>
              <w:left w:type="dxa" w:w="200"/>
              <w:bottom w:type="dxa" w:w="160"/>
              <w:right w:type="dxa" w:w="200"/>
            </w:tcMar>
          </w:tcPr>
          <w:p>
            <w:pPr>
              <w:spacing w:before="0" w:after="60"/>
            </w:pPr>
            <w:r>
              <w:rPr>
                <w:rFonts w:ascii="Arial" w:cs="Arial" w:eastAsia="Arial" w:hAnsi="Arial"/>
                <w:b/>
                <w:bCs/>
                <w:color w:val="1A6B5C"/>
                <w:sz w:val="20"/>
                <w:szCs w:val="20"/>
              </w:rPr>
              <w:t xml:space="preserve">What Vitalog Is NOT</w:t>
            </w:r>
          </w:p>
          <w:p>
            <w:pPr>
              <w:spacing w:before="0" w:after="0" w:line="320"/>
            </w:pPr>
            <w:r>
              <w:rPr>
                <w:rFonts w:ascii="Arial" w:cs="Arial" w:eastAsia="Arial" w:hAnsi="Arial"/>
                <w:color w:val="1A1A2E"/>
                <w:sz w:val="21"/>
                <w:szCs w:val="21"/>
              </w:rPr>
              <w:t xml:space="preserve">Vitalog does not diagnose conditions, recommend medications, or replace medical professionals. It is a health literacy and organisation tool that empowers patients to be better informed participants in their own care.</w:t>
            </w:r>
          </w:p>
        </w:tc>
      </w:tr>
    </w:tbl>
    <w:p>
      <w:r>
        <w:br w:type="page"/>
      </w:r>
    </w:p>
    <w:p>
      <w:pPr>
        <w:spacing w:before="480" w:after="120"/>
      </w:pPr>
      <w:r>
        <w:rPr>
          <w:rFonts w:ascii="Arial" w:cs="Arial" w:eastAsia="Arial" w:hAnsi="Arial"/>
          <w:b/>
          <w:bCs/>
          <w:caps/>
          <w:color w:val="1A6B5C"/>
          <w:sz w:val="18"/>
          <w:szCs w:val="18"/>
        </w:rPr>
        <w:t xml:space="preserve">● Section 4</w:t>
      </w:r>
    </w:p>
    <w:p>
      <w:pPr>
        <w:pStyle w:val="Heading1"/>
        <w:spacing w:before="480" w:after="160"/>
      </w:pPr>
      <w:r>
        <w:rPr>
          <w:rFonts w:ascii="Arial" w:cs="Arial" w:eastAsia="Arial" w:hAnsi="Arial"/>
          <w:b/>
          <w:bCs/>
          <w:color w:val="1A1A2E"/>
          <w:sz w:val="36"/>
          <w:szCs w:val="36"/>
        </w:rPr>
        <w:t xml:space="preserve">User Personas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62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Arjun — The Urban Professional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 &amp; Location</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32, Bangalore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Occupation</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Senior Engineer at a tech company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Health Behaviour</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Annual employer health checkup, occasional sick visits. Stores reports in WhatsApp.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Core Pain</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Got a report flagging borderline cholesterol. Had no idea what it meant or whether to worry.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 He Wants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 understand his own health without needing a medical degree or a 30-minute doctor call.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Acquisition Channel</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LinkedIn or Twitter — hears about Vitalog from a founder post about health data literacy.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62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Priya — The Family Health Manager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 &amp; Location</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35, Mumbai</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Occupation</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Product Manager, managing her own health and both parents' health</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Health Behaviour</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Juggles 3 sets of health records across 4 hospitals. Constant anxiety about missing something.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Core Pain</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Her father's diabetic reports are spread across Apollo, a government hospital, and a WhatsApp group.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 She Wants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One place for the whole family's health history, with clear trend visibility.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Acquisition Channel</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Word of mouth from a colleague who started using Vitalog after their own health scare.</w:t>
            </w:r>
          </w:p>
        </w:tc>
      </w:tr>
    </w:tbl>
    <w:p>
      <w:r>
        <w:br w:type="page"/>
      </w:r>
    </w:p>
    <w:p>
      <w:pPr>
        <w:spacing w:before="480" w:after="120"/>
      </w:pPr>
      <w:r>
        <w:rPr>
          <w:rFonts w:ascii="Arial" w:cs="Arial" w:eastAsia="Arial" w:hAnsi="Arial"/>
          <w:b/>
          <w:bCs/>
          <w:caps/>
          <w:color w:val="1A6B5C"/>
          <w:sz w:val="18"/>
          <w:szCs w:val="18"/>
        </w:rPr>
        <w:t xml:space="preserve">● Section 5</w:t>
      </w:r>
    </w:p>
    <w:p>
      <w:pPr>
        <w:pStyle w:val="Heading1"/>
        <w:spacing w:before="480" w:after="160"/>
      </w:pPr>
      <w:r>
        <w:rPr>
          <w:rFonts w:ascii="Arial" w:cs="Arial" w:eastAsia="Arial" w:hAnsi="Arial"/>
          <w:b/>
          <w:bCs/>
          <w:color w:val="1A1A2E"/>
          <w:sz w:val="36"/>
          <w:szCs w:val="36"/>
        </w:rPr>
        <w:t xml:space="preserve">Competitive Landscape</w:t>
      </w:r>
    </w:p>
    <w:p>
      <w:pPr>
        <w:pStyle w:val="Heading2"/>
        <w:pBdr>
          <w:bottom w:val="single" w:color="1A6B5C" w:sz="4" w:space="4"/>
        </w:pBdr>
        <w:spacing w:before="360" w:after="120"/>
      </w:pPr>
      <w:r>
        <w:rPr>
          <w:rFonts w:ascii="Arial" w:cs="Arial" w:eastAsia="Arial" w:hAnsi="Arial"/>
          <w:b/>
          <w:bCs/>
          <w:color w:val="1A6B5C"/>
          <w:sz w:val="28"/>
          <w:szCs w:val="28"/>
        </w:rPr>
        <w:t xml:space="preserve">Direct Competitors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23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Core Focus</w:t>
            </w:r>
          </w:p>
        </w:tc>
        <w:tc>
          <w:tcPr>
            <w:tcW w:type="dxa" w:w="23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Gap vs Vitalog</w:t>
            </w:r>
          </w:p>
        </w:tc>
        <w:tc>
          <w:tcPr>
            <w:tcW w:type="dxa" w:w="23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Threat Level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Eka Care</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color w:val="1A1A2E"/>
                <w:sz w:val="19"/>
                <w:szCs w:val="19"/>
              </w:rPr>
              <w:t xml:space="preserve">Provider EMR + patient records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 AI comprehension layer. Built for doctors first.</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color w:val="1A1A2E"/>
                <w:sz w:val="19"/>
                <w:szCs w:val="19"/>
              </w:rPr>
              <w:t xml:space="preserve">High — 30M users, funded</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color w:val="1A1A2E"/>
                <w:sz w:val="19"/>
                <w:szCs w:val="19"/>
              </w:rPr>
              <w:t xml:space="preserve">DRiefcase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Document storage &amp; sharing</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color w:val="1A1A2E"/>
                <w:sz w:val="19"/>
                <w:szCs w:val="19"/>
              </w:rPr>
              <w:t xml:space="preserve">Pure storage play. No AI, no comprehension.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Medium — limited AI depth</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ABHA App</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color w:val="1A1A2E"/>
                <w:sz w:val="19"/>
                <w:szCs w:val="19"/>
              </w:rPr>
              <w:t xml:space="preserve">Government health ID + records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Government UX. No AI. No comprehension.</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color w:val="1A1A2E"/>
                <w:sz w:val="19"/>
                <w:szCs w:val="19"/>
              </w:rPr>
              <w:t xml:space="preserve">Low — not a consumer product</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color w:val="1A1A2E"/>
                <w:sz w:val="19"/>
                <w:szCs w:val="19"/>
              </w:rPr>
              <w:t xml:space="preserve">Google Drive / WhatsApp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Generic file storage</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color w:val="1A1A2E"/>
                <w:sz w:val="19"/>
                <w:szCs w:val="19"/>
              </w:rPr>
              <w:t xml:space="preserve">Zero health intelligence. No extraction or explanation.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High — default behaviour</w:t>
            </w:r>
          </w:p>
        </w:tc>
      </w:tr>
    </w:tbl>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Vitalog's Defensible Differentiation</w:t>
      </w:r>
    </w:p>
    <w:p>
      <w:pPr>
        <w:pStyle w:val="ListParagraph"/>
        <w:numPr>
          <w:ilvl w:val="0"/>
          <w:numId w:val="2"/>
        </w:numPr>
        <w:spacing w:before="60" w:after="60" w:line="320"/>
      </w:pPr>
      <w:r>
        <w:rPr>
          <w:rFonts w:ascii="Arial" w:cs="Arial" w:eastAsia="Arial" w:hAnsi="Arial"/>
          <w:color w:val="1A1A2E"/>
          <w:sz w:val="22"/>
          <w:szCs w:val="22"/>
        </w:rPr>
        <w:t xml:space="preserve">Only product where AI comprehension is the primary value prop, not a secondary feature</w:t>
      </w:r>
    </w:p>
    <w:p>
      <w:pPr>
        <w:pStyle w:val="ListParagraph"/>
        <w:numPr>
          <w:ilvl w:val="0"/>
          <w:numId w:val="2"/>
        </w:numPr>
        <w:spacing w:before="60" w:after="60" w:line="320"/>
      </w:pPr>
      <w:r>
        <w:rPr>
          <w:rFonts w:ascii="Arial" w:cs="Arial" w:eastAsia="Arial" w:hAnsi="Arial"/>
          <w:color w:val="1A1A2E"/>
          <w:sz w:val="22"/>
          <w:szCs w:val="22"/>
        </w:rPr>
        <w:t xml:space="preserve">Longitudinal delta surfacing — automatically noticing what changed and why it matters</w:t>
      </w:r>
    </w:p>
    <w:p>
      <w:pPr>
        <w:pStyle w:val="ListParagraph"/>
        <w:numPr>
          <w:ilvl w:val="0"/>
          <w:numId w:val="2"/>
        </w:numPr>
        <w:spacing w:before="60" w:after="60" w:line="320"/>
      </w:pPr>
      <w:r>
        <w:rPr>
          <w:rFonts w:ascii="Arial" w:cs="Arial" w:eastAsia="Arial" w:hAnsi="Arial"/>
          <w:color w:val="1A1A2E"/>
          <w:sz w:val="22"/>
          <w:szCs w:val="22"/>
        </w:rPr>
        <w:t xml:space="preserve">Built patient-first from day one, not retrofitted onto a doctor platform</w:t>
      </w:r>
    </w:p>
    <w:p>
      <w:pPr>
        <w:pStyle w:val="ListParagraph"/>
        <w:numPr>
          <w:ilvl w:val="0"/>
          <w:numId w:val="2"/>
        </w:numPr>
        <w:spacing w:before="60" w:after="60" w:line="320"/>
      </w:pPr>
      <w:r>
        <w:rPr>
          <w:rFonts w:ascii="Arial" w:cs="Arial" w:eastAsia="Arial" w:hAnsi="Arial"/>
          <w:color w:val="1A1A2E"/>
          <w:sz w:val="22"/>
          <w:szCs w:val="22"/>
        </w:rPr>
        <w:t xml:space="preserve">Switching cost compounds with every upload — leaving means losing your interpreted health history</w:t>
      </w:r>
    </w:p>
    <w:p>
      <w:r>
        <w:br w:type="page"/>
      </w:r>
    </w:p>
    <w:p>
      <w:pPr>
        <w:spacing w:before="480" w:after="120"/>
      </w:pPr>
      <w:r>
        <w:rPr>
          <w:rFonts w:ascii="Arial" w:cs="Arial" w:eastAsia="Arial" w:hAnsi="Arial"/>
          <w:b/>
          <w:bCs/>
          <w:caps/>
          <w:color w:val="1A6B5C"/>
          <w:sz w:val="18"/>
          <w:szCs w:val="18"/>
        </w:rPr>
        <w:t xml:space="preserve">● Section 6</w:t>
      </w:r>
    </w:p>
    <w:p>
      <w:pPr>
        <w:pStyle w:val="Heading1"/>
        <w:spacing w:before="480" w:after="160"/>
      </w:pPr>
      <w:r>
        <w:rPr>
          <w:rFonts w:ascii="Arial" w:cs="Arial" w:eastAsia="Arial" w:hAnsi="Arial"/>
          <w:b/>
          <w:bCs/>
          <w:color w:val="1A1A2E"/>
          <w:sz w:val="36"/>
          <w:szCs w:val="36"/>
        </w:rPr>
        <w:t xml:space="preserve">Product Phases &amp; Roadmap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23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3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3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23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Foundation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2 weeks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Secure infra live. Legal basics in place. Deploy pipeline working.</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bCs/>
                <w:color w:val="1A1A2E"/>
                <w:sz w:val="19"/>
                <w:szCs w:val="19"/>
              </w:rPr>
              <w:t xml:space="preserve">1</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bCs/>
                <w:color w:val="1A1A2E"/>
                <w:sz w:val="19"/>
                <w:szCs w:val="19"/>
              </w:rPr>
              <w:t xml:space="preserve">Extraction Engine</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19"/>
                <w:szCs w:val="19"/>
              </w:rPr>
              <w:t xml:space="preserve">2 weeks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19"/>
                <w:szCs w:val="19"/>
              </w:rPr>
              <w:t xml:space="preserve">80%+ extraction accuracy across 50 varied real-world Indian lab reports.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2</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Core MVP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3 weeks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10 design partners complete full upload → comprehension flow. Qualitative delight confirmed.</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bCs/>
                <w:color w:val="1A1A2E"/>
                <w:sz w:val="19"/>
                <w:szCs w:val="19"/>
              </w:rPr>
              <w:t xml:space="preserve">3</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bCs/>
                <w:color w:val="1A1A2E"/>
                <w:sz w:val="19"/>
                <w:szCs w:val="19"/>
              </w:rPr>
              <w:t xml:space="preserve">Longitudinal Layer</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19"/>
                <w:szCs w:val="19"/>
              </w:rPr>
              <w:t xml:space="preserve">3 weeks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19"/>
                <w:szCs w:val="19"/>
              </w:rPr>
              <w:t xml:space="preserve">Users with 3+ reports find a meaningful health insight they did not previously know.</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4</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Trust &amp; Polish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2 weeks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Security review complete. Privacy dashboard live. Data export working.</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bCs/>
                <w:color w:val="1A1A2E"/>
                <w:sz w:val="19"/>
                <w:szCs w:val="19"/>
              </w:rPr>
              <w:t xml:space="preserve">5</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bCs/>
                <w:color w:val="1A1A2E"/>
                <w:sz w:val="19"/>
                <w:szCs w:val="19"/>
              </w:rPr>
              <w:t xml:space="preserve">Early Launch</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19"/>
                <w:szCs w:val="19"/>
              </w:rPr>
              <w:t xml:space="preserve">Ongoing</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19"/>
                <w:szCs w:val="19"/>
              </w:rPr>
              <w:t xml:space="preserve">100 paying users. Measurable weekly engagement. Retention curve understood.</w:t>
            </w:r>
          </w:p>
        </w:tc>
      </w:tr>
    </w:tbl>
    <w:p>
      <w:r>
        <w:br w:type="page"/>
      </w:r>
    </w:p>
    <w:p>
      <w:pPr>
        <w:spacing w:before="480" w:after="120"/>
      </w:pPr>
      <w:r>
        <w:rPr>
          <w:rFonts w:ascii="Arial" w:cs="Arial" w:eastAsia="Arial" w:hAnsi="Arial"/>
          <w:b/>
          <w:bCs/>
          <w:caps/>
          <w:color w:val="1A6B5C"/>
          <w:sz w:val="18"/>
          <w:szCs w:val="18"/>
        </w:rPr>
        <w:t xml:space="preserve">● Section 7</w:t>
      </w:r>
    </w:p>
    <w:p>
      <w:pPr>
        <w:pStyle w:val="Heading1"/>
        <w:spacing w:before="480" w:after="160"/>
      </w:pPr>
      <w:r>
        <w:rPr>
          <w:rFonts w:ascii="Arial" w:cs="Arial" w:eastAsia="Arial" w:hAnsi="Arial"/>
          <w:b/>
          <w:bCs/>
          <w:color w:val="1A1A2E"/>
          <w:sz w:val="36"/>
          <w:szCs w:val="36"/>
        </w:rPr>
        <w:t xml:space="preserve">Feature Specifications</w:t>
      </w:r>
    </w:p>
    <w:p>
      <w:pPr>
        <w:pStyle w:val="Heading2"/>
        <w:pBdr>
          <w:bottom w:val="single" w:color="1A6B5C" w:sz="4" w:space="4"/>
        </w:pBdr>
        <w:spacing w:before="360" w:after="120"/>
      </w:pPr>
      <w:r>
        <w:rPr>
          <w:rFonts w:ascii="Arial" w:cs="Arial" w:eastAsia="Arial" w:hAnsi="Arial"/>
          <w:b/>
          <w:bCs/>
          <w:color w:val="1A6B5C"/>
          <w:sz w:val="28"/>
          <w:szCs w:val="28"/>
        </w:rPr>
        <w:t xml:space="preserve">F1 — Document Upload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2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Feature ID</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F1</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 — Core MVP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Priority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P0 — Must Have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Story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 a user, I want to upload any health document so that it is securely stored and available when I need it.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Acceptance Criteria</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Supports PDF, JPG, PNG upload. Max file size 20MB. Upload completes in under 5 seconds on standard broadband. File encrypted at rest. User receives upload confirmation immediately.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Notes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Supabase Storage with RLS. Client-side file type validation before upload. Server-side MIME type verification. Virus scan on upload. Encrypted storage bucket. Thumbnail generated for PDF preview.</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Edge Cases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Corrupted file → clear error message. Duplicate upload → prompt user. Network failure mid-upload → resume capability. Unsupported file type → clear guidance.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Out of Scope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Direct integration with hospital portals, ABHA auto-sync (Phase 3 consideration).</w:t>
            </w:r>
          </w:p>
        </w:tc>
      </w:tr>
    </w:tbl>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F2 — AI Extraction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2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Feature ID</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F2</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1 — Extraction Engine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Priority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P0 — Must Have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Story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 the system, I need to extract structured health data from unstructured documents so that values can be stored, compared, and explained.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Acceptance Criteria</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Extracts test name, value, unit, and reference range for all identifiable tests. Handles printed PDFs, photographed paper reports, and mixed Hindi/English documents. Accuracy target: 80%+ on varied real-world Indian lab reports. Returns structured JSON within 10 seconds of upload.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Notes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Vision AI model (Claude Vision or GPT-4 Vision) called with structured extraction prompt. Response parsed to canonical JSON schema. Normalisation layer maps variant names (Hb, HGB, Haemoglobin) to single canonical field. Failed extractions flagged for manual review queue. Extracted data stored separately from raw document.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Edge Cases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Handwritten reports → lower confidence flag. Blurry photographs → pre-processing enhancement attempt before AI call. Non-health documents → classified and rejected gracefully. Partial extraction → store what was found, flag gaps.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Out of Scope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Real-time extraction during upload animation (async is acceptable). 100% accuracy guarantee.</w:t>
            </w:r>
          </w:p>
        </w:tc>
      </w:tr>
    </w:tbl>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F3 — Plain Language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2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Feature ID</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F3</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 — Core MVP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Priority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P0 — Must Have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Story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 a user, I want to understand what my health report means in plain English so that I can make informed decisions about my health without needing medical training.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Acceptance Criteria</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Every uploaded report generates a plain language explanation within 15 seconds. Explanation covers: what was tested, what the results mean, which values are within range, which are outside range, and what significant findings are present. No diagnostic language ('you have X condition'). No prescription recommendations. Readability target: Class 8 English comprehension level. User can toggle between plain explanation and raw extracted values.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Notes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Separate AI call using extracted JSON (not raw document) as input — cheaper and more accurate than re-processing full document. System prompt engineered to enforce non-diagnostic framing. Output structured as: Summary paragraph, Key Findings section, Values breakdown. Cached per report — not regenerated on every view.</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Edge Cases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Prescription-only uploads (no lab values) → explanation covers medication names and common uses without dosage advice. Scan reports (MRI, X-ray, ultrasound) → explain findings from radiologist notes if present. Non-health document → do not generate explanation, show clear message.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Out of Scope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Multilingual explanation (Phase 4). Voice readout of explanation.</w:t>
            </w:r>
          </w:p>
        </w:tc>
      </w:tr>
    </w:tbl>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F4 — Longitudinal Trend Tracking &amp;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2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Feature ID</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F4</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 — Longitudinal Layer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Priority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P1 — Should Have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Story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 a user with multiple reports uploaded, I want to see how my health values have changed over time so that I can identify trends before they become serious problems.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Acceptance Criteria</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When 2+ reports contain the same canonical value, a trend chart is automatically generated. Charts display value over time with reference range band overlaid. Significant delta (&gt;15% change between consecutive reports) is flagged with a visual indicator and plain language note. User can view trends for all tracked values from a single Health Timeline screen. Charts are interactive — hover/tap to see exact value and report date.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Notes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Recharts or similar for chart rendering. Canonical value matching uses normalisation layer from F2. Delta calculation: percentage change between consecutive values of same canonical field. Threshold for 'significant delta' configurable in admin — default 15%. Trend data derived from structured extraction store — no re-processing required. Family profiles share same infrastructure, segmented by profile ID.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Edge Cases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Single report — no trend chart shown, prompt to upload next report. Values present in one report but not subsequent — gap displayed in timeline with note. Reference ranges vary between labs — use most recent report's reference range as baseline. Conflicting units across reports (mg/dL vs mmol/L) → normalise before comparison, flag to user.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Out of Scope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Predictive analytics ('your value will reach X by date Y'). Integration with wearable data in this phase.</w:t>
            </w:r>
          </w:p>
        </w:tc>
      </w:tr>
    </w:tbl>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F5 — Report Dashboard &amp;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2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Feature ID</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F5</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2 — Core MVP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Priority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P0 — Must Have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Story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 a user, I want a central dashboard showing all my uploaded reports so that I can find any document instantly without searching through WhatsApp or email.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Acceptance Criteria</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Dashboard shows all reports in reverse chronological order. Each report card shows: document type, upload date, key findings summary (1 sentence), and quick access to full view. Search by date range, document type, or keyword from extraction. Filter by report type (blood test, scan, prescription, discharge summary). Download original document at any time. Delete report with confirmation (soft delete, recoverable within 30 days).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Notes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Full-text search across extracted values and plain language summaries using Postgres full-text search. Document type auto-classified by extraction AI. Soft delete with 30-day recovery window before permanent deletion. Original file always downloadable — never just the extraction.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Edge Cases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Empty state (no uploads) — clear onboarding prompt with specific steps. Very long report list — pagination or infinite scroll. Multiple reports same date — all shown, sorted by upload time. Failed extraction — report still visible in dashboard, marked as 'Processing failed'.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Out of Scope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Sharing reports directly from dashboard to doctor (Phase 4 consideration).</w:t>
            </w:r>
          </w:p>
        </w:tc>
      </w:tr>
    </w:tbl>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F6 — Family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24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Feature ID</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F6</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Phase 3 — Longitudinal Layer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Priority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P1 — Should Have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 Story</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 a user managing my parents' health alongside my own, I want to create separate profiles for each family member so that our health records are not mixed together.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Acceptance Criteria</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Up to 5 family profiles per account. Each profile has independent document store, timeline, and trend tracking. Switch between profiles with one tap/click. Profile names, relationship, and date of birth stored per profile. All profiles count toward single subscription plan.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Notes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Profile scoped at database row level — RLS ensures profile isolation. Primary account owner can create, edit, and delete profiles. Profile data included in data export and account deletion flows.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Edge Cases</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Accidental upload to wrong profile → move document between profiles. Profile deletion → confirm all documents will be deleted. DOB used for age-appropriate reference range context in explanation.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Out of Scope</w:t>
            </w:r>
          </w:p>
        </w:tc>
        <w:tc>
          <w:tcPr>
            <w:tcW w:type="dxa" w:w="62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Shared access (multiple users accessing same profile). Profile-specific subscription tiers.</w:t>
            </w:r>
          </w:p>
        </w:tc>
      </w:tr>
    </w:tbl>
    <w:p>
      <w:r>
        <w:br w:type="page"/>
      </w:r>
    </w:p>
    <w:p>
      <w:pPr>
        <w:spacing w:before="480" w:after="120"/>
      </w:pPr>
      <w:r>
        <w:rPr>
          <w:rFonts w:ascii="Arial" w:cs="Arial" w:eastAsia="Arial" w:hAnsi="Arial"/>
          <w:b/>
          <w:bCs/>
          <w:caps/>
          <w:color w:val="1A6B5C"/>
          <w:sz w:val="18"/>
          <w:szCs w:val="18"/>
        </w:rPr>
        <w:t xml:space="preserve">● Section 8</w:t>
      </w:r>
    </w:p>
    <w:p>
      <w:pPr>
        <w:pStyle w:val="Heading1"/>
        <w:spacing w:before="480" w:after="160"/>
      </w:pPr>
      <w:r>
        <w:rPr>
          <w:rFonts w:ascii="Arial" w:cs="Arial" w:eastAsia="Arial" w:hAnsi="Arial"/>
          <w:b/>
          <w:bCs/>
          <w:color w:val="1A1A2E"/>
          <w:sz w:val="36"/>
          <w:szCs w:val="36"/>
        </w:rPr>
        <w:t xml:space="preserve">Non-Functional Requirements</w:t>
      </w:r>
    </w:p>
    <w:p>
      <w:pPr>
        <w:pStyle w:val="Heading2"/>
        <w:pBdr>
          <w:bottom w:val="single" w:color="1A6B5C" w:sz="4" w:space="4"/>
        </w:pBdr>
        <w:spacing w:before="360" w:after="120"/>
      </w:pPr>
      <w:r>
        <w:rPr>
          <w:rFonts w:ascii="Arial" w:cs="Arial" w:eastAsia="Arial" w:hAnsi="Arial"/>
          <w:b/>
          <w:bCs/>
          <w:color w:val="1A6B5C"/>
          <w:sz w:val="28"/>
          <w:szCs w:val="28"/>
        </w:rPr>
        <w:t xml:space="preserve">Security &amp; Privacy</w:t>
      </w:r>
    </w:p>
    <w:p>
      <w:pPr>
        <w:pStyle w:val="ListParagraph"/>
        <w:numPr>
          <w:ilvl w:val="0"/>
          <w:numId w:val="2"/>
        </w:numPr>
        <w:spacing w:before="60" w:after="60" w:line="320"/>
      </w:pPr>
      <w:r>
        <w:rPr>
          <w:rFonts w:ascii="Arial" w:cs="Arial" w:eastAsia="Arial" w:hAnsi="Arial"/>
          <w:color w:val="1A1A2E"/>
          <w:sz w:val="22"/>
          <w:szCs w:val="22"/>
        </w:rPr>
        <w:t xml:space="preserve">All documents encrypted at rest using AES-256</w:t>
      </w:r>
    </w:p>
    <w:p>
      <w:pPr>
        <w:pStyle w:val="ListParagraph"/>
        <w:numPr>
          <w:ilvl w:val="0"/>
          <w:numId w:val="2"/>
        </w:numPr>
        <w:spacing w:before="60" w:after="60" w:line="320"/>
      </w:pPr>
      <w:r>
        <w:rPr>
          <w:rFonts w:ascii="Arial" w:cs="Arial" w:eastAsia="Arial" w:hAnsi="Arial"/>
          <w:color w:val="1A1A2E"/>
          <w:sz w:val="22"/>
          <w:szCs w:val="22"/>
        </w:rPr>
        <w:t xml:space="preserve">All data in transit encrypted via TLS 1.3</w:t>
      </w:r>
    </w:p>
    <w:p>
      <w:pPr>
        <w:pStyle w:val="ListParagraph"/>
        <w:numPr>
          <w:ilvl w:val="0"/>
          <w:numId w:val="2"/>
        </w:numPr>
        <w:spacing w:before="60" w:after="60" w:line="320"/>
      </w:pPr>
      <w:r>
        <w:rPr>
          <w:rFonts w:ascii="Arial" w:cs="Arial" w:eastAsia="Arial" w:hAnsi="Arial"/>
          <w:color w:val="1A1A2E"/>
          <w:sz w:val="22"/>
          <w:szCs w:val="22"/>
        </w:rPr>
        <w:t xml:space="preserve">Row-level security on all database tables from day one</w:t>
      </w:r>
    </w:p>
    <w:p>
      <w:pPr>
        <w:pStyle w:val="ListParagraph"/>
        <w:numPr>
          <w:ilvl w:val="0"/>
          <w:numId w:val="2"/>
        </w:numPr>
        <w:spacing w:before="60" w:after="60" w:line="320"/>
      </w:pPr>
      <w:r>
        <w:rPr>
          <w:rFonts w:ascii="Arial" w:cs="Arial" w:eastAsia="Arial" w:hAnsi="Arial"/>
          <w:color w:val="1A1A2E"/>
          <w:sz w:val="22"/>
          <w:szCs w:val="22"/>
        </w:rPr>
        <w:t xml:space="preserve">Zero logging of raw health data in plaintext</w:t>
      </w:r>
    </w:p>
    <w:p>
      <w:pPr>
        <w:pStyle w:val="ListParagraph"/>
        <w:numPr>
          <w:ilvl w:val="0"/>
          <w:numId w:val="2"/>
        </w:numPr>
        <w:spacing w:before="60" w:after="60" w:line="320"/>
      </w:pPr>
      <w:r>
        <w:rPr>
          <w:rFonts w:ascii="Arial" w:cs="Arial" w:eastAsia="Arial" w:hAnsi="Arial"/>
          <w:color w:val="1A1A2E"/>
          <w:sz w:val="22"/>
          <w:szCs w:val="22"/>
        </w:rPr>
        <w:t xml:space="preserve">DPDP Act 2023 compliance — explicit consent at signup, purpose limitation documented</w:t>
      </w:r>
    </w:p>
    <w:p>
      <w:pPr>
        <w:pStyle w:val="ListParagraph"/>
        <w:numPr>
          <w:ilvl w:val="0"/>
          <w:numId w:val="2"/>
        </w:numPr>
        <w:spacing w:before="60" w:after="60" w:line="320"/>
      </w:pPr>
      <w:r>
        <w:rPr>
          <w:rFonts w:ascii="Arial" w:cs="Arial" w:eastAsia="Arial" w:hAnsi="Arial"/>
          <w:color w:val="1A1A2E"/>
          <w:sz w:val="22"/>
          <w:szCs w:val="22"/>
        </w:rPr>
        <w:t xml:space="preserve">Data residency: India (Supabase India region or equivalent)</w:t>
      </w:r>
    </w:p>
    <w:p>
      <w:pPr>
        <w:pStyle w:val="ListParagraph"/>
        <w:numPr>
          <w:ilvl w:val="0"/>
          <w:numId w:val="2"/>
        </w:numPr>
        <w:spacing w:before="60" w:after="60" w:line="320"/>
      </w:pPr>
      <w:r>
        <w:rPr>
          <w:rFonts w:ascii="Arial" w:cs="Arial" w:eastAsia="Arial" w:hAnsi="Arial"/>
          <w:color w:val="1A1A2E"/>
          <w:sz w:val="22"/>
          <w:szCs w:val="22"/>
        </w:rPr>
        <w:t xml:space="preserve">Right to deletion: full account and data deletion within 30 days of request</w:t>
      </w:r>
    </w:p>
    <w:p>
      <w:pPr>
        <w:spacing w:before="16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Performance</w:t>
      </w:r>
    </w:p>
    <w:p>
      <w:pPr>
        <w:pStyle w:val="ListParagraph"/>
        <w:numPr>
          <w:ilvl w:val="0"/>
          <w:numId w:val="2"/>
        </w:numPr>
        <w:spacing w:before="60" w:after="60" w:line="320"/>
      </w:pPr>
      <w:r>
        <w:rPr>
          <w:rFonts w:ascii="Arial" w:cs="Arial" w:eastAsia="Arial" w:hAnsi="Arial"/>
          <w:color w:val="1A1A2E"/>
          <w:sz w:val="22"/>
          <w:szCs w:val="22"/>
        </w:rPr>
        <w:t xml:space="preserve">Upload to extraction complete: under 15 seconds for standard lab PDF</w:t>
      </w:r>
    </w:p>
    <w:p>
      <w:pPr>
        <w:pStyle w:val="ListParagraph"/>
        <w:numPr>
          <w:ilvl w:val="0"/>
          <w:numId w:val="2"/>
        </w:numPr>
        <w:spacing w:before="60" w:after="60" w:line="320"/>
      </w:pPr>
      <w:r>
        <w:rPr>
          <w:rFonts w:ascii="Arial" w:cs="Arial" w:eastAsia="Arial" w:hAnsi="Arial"/>
          <w:color w:val="1A1A2E"/>
          <w:sz w:val="22"/>
          <w:szCs w:val="22"/>
        </w:rPr>
        <w:t xml:space="preserve">Dashboard load time: under 2 seconds on 4G mobile connection</w:t>
      </w:r>
    </w:p>
    <w:p>
      <w:pPr>
        <w:pStyle w:val="ListParagraph"/>
        <w:numPr>
          <w:ilvl w:val="0"/>
          <w:numId w:val="2"/>
        </w:numPr>
        <w:spacing w:before="60" w:after="60" w:line="320"/>
      </w:pPr>
      <w:r>
        <w:rPr>
          <w:rFonts w:ascii="Arial" w:cs="Arial" w:eastAsia="Arial" w:hAnsi="Arial"/>
          <w:color w:val="1A1A2E"/>
          <w:sz w:val="22"/>
          <w:szCs w:val="22"/>
        </w:rPr>
        <w:t xml:space="preserve">Plain language explanation generation: under 10 seconds</w:t>
      </w:r>
    </w:p>
    <w:p>
      <w:pPr>
        <w:pStyle w:val="ListParagraph"/>
        <w:numPr>
          <w:ilvl w:val="0"/>
          <w:numId w:val="2"/>
        </w:numPr>
        <w:spacing w:before="60" w:after="60" w:line="320"/>
      </w:pPr>
      <w:r>
        <w:rPr>
          <w:rFonts w:ascii="Arial" w:cs="Arial" w:eastAsia="Arial" w:hAnsi="Arial"/>
          <w:color w:val="1A1A2E"/>
          <w:sz w:val="22"/>
          <w:szCs w:val="22"/>
        </w:rPr>
        <w:t xml:space="preserve">99.5% uptime target — health data access must be reliable</w:t>
      </w:r>
    </w:p>
    <w:p>
      <w:pPr>
        <w:spacing w:before="16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Reliability</w:t>
      </w:r>
    </w:p>
    <w:p>
      <w:pPr>
        <w:pStyle w:val="ListParagraph"/>
        <w:numPr>
          <w:ilvl w:val="0"/>
          <w:numId w:val="2"/>
        </w:numPr>
        <w:spacing w:before="60" w:after="60" w:line="320"/>
      </w:pPr>
      <w:r>
        <w:rPr>
          <w:rFonts w:ascii="Arial" w:cs="Arial" w:eastAsia="Arial" w:hAnsi="Arial"/>
          <w:color w:val="1A1A2E"/>
          <w:sz w:val="22"/>
          <w:szCs w:val="22"/>
        </w:rPr>
        <w:t xml:space="preserve">Automated daily database backups with tested restore procedure</w:t>
      </w:r>
    </w:p>
    <w:p>
      <w:pPr>
        <w:pStyle w:val="ListParagraph"/>
        <w:numPr>
          <w:ilvl w:val="0"/>
          <w:numId w:val="2"/>
        </w:numPr>
        <w:spacing w:before="60" w:after="60" w:line="320"/>
      </w:pPr>
      <w:r>
        <w:rPr>
          <w:rFonts w:ascii="Arial" w:cs="Arial" w:eastAsia="Arial" w:hAnsi="Arial"/>
          <w:color w:val="1A1A2E"/>
          <w:sz w:val="22"/>
          <w:szCs w:val="22"/>
        </w:rPr>
        <w:t xml:space="preserve">Extraction failures logged and flagged — user notified, document preserved</w:t>
      </w:r>
    </w:p>
    <w:p>
      <w:pPr>
        <w:pStyle w:val="ListParagraph"/>
        <w:numPr>
          <w:ilvl w:val="0"/>
          <w:numId w:val="2"/>
        </w:numPr>
        <w:spacing w:before="60" w:after="60" w:line="320"/>
      </w:pPr>
      <w:r>
        <w:rPr>
          <w:rFonts w:ascii="Arial" w:cs="Arial" w:eastAsia="Arial" w:hAnsi="Arial"/>
          <w:color w:val="1A1A2E"/>
          <w:sz w:val="22"/>
          <w:szCs w:val="22"/>
        </w:rPr>
        <w:t xml:space="preserve">Sentry error tracking from day one across all environments</w:t>
      </w:r>
    </w:p>
    <w:p>
      <w:pPr>
        <w:pStyle w:val="ListParagraph"/>
        <w:numPr>
          <w:ilvl w:val="0"/>
          <w:numId w:val="2"/>
        </w:numPr>
        <w:spacing w:before="60" w:after="60" w:line="320"/>
      </w:pPr>
      <w:r>
        <w:rPr>
          <w:rFonts w:ascii="Arial" w:cs="Arial" w:eastAsia="Arial" w:hAnsi="Arial"/>
          <w:color w:val="1A1A2E"/>
          <w:sz w:val="22"/>
          <w:szCs w:val="22"/>
        </w:rPr>
        <w:t xml:space="preserve">Graceful degradation — if AI service is down, raw document still accessible</w:t>
      </w:r>
    </w:p>
    <w:p>
      <w:r>
        <w:br w:type="page"/>
      </w:r>
    </w:p>
    <w:p>
      <w:pPr>
        <w:spacing w:before="480" w:after="120"/>
      </w:pPr>
      <w:r>
        <w:rPr>
          <w:rFonts w:ascii="Arial" w:cs="Arial" w:eastAsia="Arial" w:hAnsi="Arial"/>
          <w:b/>
          <w:bCs/>
          <w:caps/>
          <w:color w:val="1A6B5C"/>
          <w:sz w:val="18"/>
          <w:szCs w:val="18"/>
        </w:rPr>
        <w:t xml:space="preserve">● Section 9</w:t>
      </w:r>
    </w:p>
    <w:p>
      <w:pPr>
        <w:pStyle w:val="Heading1"/>
        <w:spacing w:before="480" w:after="160"/>
      </w:pPr>
      <w:r>
        <w:rPr>
          <w:rFonts w:ascii="Arial" w:cs="Arial" w:eastAsia="Arial" w:hAnsi="Arial"/>
          <w:b/>
          <w:bCs/>
          <w:color w:val="1A1A2E"/>
          <w:sz w:val="36"/>
          <w:szCs w:val="36"/>
        </w:rPr>
        <w:t xml:space="preserve">Monetisation Strategy</w:t>
      </w:r>
    </w:p>
    <w:p>
      <w:pPr>
        <w:pStyle w:val="Heading2"/>
        <w:pBdr>
          <w:bottom w:val="single" w:color="1A6B5C" w:sz="4" w:space="4"/>
        </w:pBdr>
        <w:spacing w:before="360" w:after="120"/>
      </w:pPr>
      <w:r>
        <w:rPr>
          <w:rFonts w:ascii="Arial" w:cs="Arial" w:eastAsia="Arial" w:hAnsi="Arial"/>
          <w:b/>
          <w:bCs/>
          <w:color w:val="1A6B5C"/>
          <w:sz w:val="28"/>
          <w:szCs w:val="28"/>
        </w:rPr>
        <w:t xml:space="preserve">Pricing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Pro — ₹299/month</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Report Uploads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lifetime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Unlimited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 Explanation</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Trend Charts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Family Profiles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Up to 5</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 Export</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Priority Support</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r>
    </w:tbl>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Revenue Streams — Phase 2</w:t>
      </w:r>
    </w:p>
    <w:p>
      <w:pPr>
        <w:pStyle w:val="ListParagraph"/>
        <w:numPr>
          <w:ilvl w:val="0"/>
          <w:numId w:val="2"/>
        </w:numPr>
        <w:spacing w:before="60" w:after="60" w:line="320"/>
      </w:pPr>
      <w:r>
        <w:rPr>
          <w:rFonts w:ascii="Arial" w:cs="Arial" w:eastAsia="Arial" w:hAnsi="Arial"/>
          <w:color w:val="1A1A2E"/>
          <w:sz w:val="22"/>
          <w:szCs w:val="22"/>
        </w:rPr>
        <w:t xml:space="preserve">Doctor referral model: users who want to act on a report finding can be connected to relevant specialists. Clinics and diagnostic labs pay per qualified referral. Aligns with user trust rather than exploiting it.</w:t>
      </w:r>
    </w:p>
    <w:p>
      <w:pPr>
        <w:pStyle w:val="ListParagraph"/>
        <w:numPr>
          <w:ilvl w:val="0"/>
          <w:numId w:val="2"/>
        </w:numPr>
        <w:spacing w:before="60" w:after="60" w:line="320"/>
      </w:pPr>
      <w:r>
        <w:rPr>
          <w:rFonts w:ascii="Arial" w:cs="Arial" w:eastAsia="Arial" w:hAnsi="Arial"/>
          <w:color w:val="1A1A2E"/>
          <w:sz w:val="22"/>
          <w:szCs w:val="22"/>
        </w:rPr>
        <w:t xml:space="preserve">Corporate wellness: B2B tier for companies wanting to offer Vitalog as an employee health benefit. Sold per seat annually.</w:t>
      </w:r>
    </w:p>
    <w:p>
      <w:pPr>
        <w:pStyle w:val="ListParagraph"/>
        <w:numPr>
          <w:ilvl w:val="0"/>
          <w:numId w:val="2"/>
        </w:numPr>
        <w:spacing w:before="60" w:after="60" w:line="320"/>
      </w:pPr>
      <w:r>
        <w:rPr>
          <w:rFonts w:ascii="Arial" w:cs="Arial" w:eastAsia="Arial" w:hAnsi="Arial"/>
          <w:color w:val="1A1A2E"/>
          <w:sz w:val="22"/>
          <w:szCs w:val="22"/>
        </w:rPr>
        <w:t xml:space="preserve">Anonymised aggregate insights: longitudinal population-level health trend data sold to insurers and pharma (requires explicit user consent, significant regulatory consideration — Phase 4 minimum).</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C" w:sz="8"/>
              <w:left w:val="single" w:color="1A6B5C" w:sz="20"/>
              <w:bottom w:val="single" w:color="DDDDDD" w:sz="1"/>
              <w:right w:val="single" w:color="DDDDDD" w:sz="1"/>
            </w:tcBorders>
            <w:shd w:fill="E8F5F3" w:val="clear"/>
            <w:tcMar>
              <w:top w:type="dxa" w:w="160"/>
              <w:left w:type="dxa" w:w="200"/>
              <w:bottom w:type="dxa" w:w="160"/>
              <w:right w:type="dxa" w:w="200"/>
            </w:tcMar>
          </w:tcPr>
          <w:p>
            <w:pPr>
              <w:spacing w:before="0" w:after="60"/>
            </w:pPr>
            <w:r>
              <w:rPr>
                <w:rFonts w:ascii="Arial" w:cs="Arial" w:eastAsia="Arial" w:hAnsi="Arial"/>
                <w:b/>
                <w:bCs/>
                <w:color w:val="1A6B5C"/>
                <w:sz w:val="20"/>
                <w:szCs w:val="20"/>
              </w:rPr>
              <w:t xml:space="preserve">Monetisation Principle</w:t>
            </w:r>
          </w:p>
          <w:p>
            <w:pPr>
              <w:spacing w:before="0" w:after="0" w:line="320"/>
            </w:pPr>
            <w:r>
              <w:rPr>
                <w:rFonts w:ascii="Arial" w:cs="Arial" w:eastAsia="Arial" w:hAnsi="Arial"/>
                <w:color w:val="1A1A2E"/>
                <w:sz w:val="21"/>
                <w:szCs w:val="21"/>
              </w:rPr>
              <w:t xml:space="preserve">Free tier exists to create habit and prove value. Pricing is set at a level where paying feels obvious for anyone who has uploaded 3+ reports, not as a barrier to entry.</w:t>
            </w:r>
          </w:p>
        </w:tc>
      </w:tr>
    </w:tbl>
    <w:p>
      <w:r>
        <w:br w:type="page"/>
      </w:r>
    </w:p>
    <w:p>
      <w:pPr>
        <w:spacing w:before="480" w:after="120"/>
      </w:pPr>
      <w:r>
        <w:rPr>
          <w:rFonts w:ascii="Arial" w:cs="Arial" w:eastAsia="Arial" w:hAnsi="Arial"/>
          <w:b/>
          <w:bCs/>
          <w:caps/>
          <w:color w:val="1A6B5C"/>
          <w:sz w:val="18"/>
          <w:szCs w:val="18"/>
        </w:rPr>
        <w:t xml:space="preserve">● Section 10</w:t>
      </w:r>
    </w:p>
    <w:p>
      <w:pPr>
        <w:pStyle w:val="Heading1"/>
        <w:spacing w:before="480" w:after="160"/>
      </w:pPr>
      <w:r>
        <w:rPr>
          <w:rFonts w:ascii="Arial" w:cs="Arial" w:eastAsia="Arial" w:hAnsi="Arial"/>
          <w:b/>
          <w:bCs/>
          <w:color w:val="1A1A2E"/>
          <w:sz w:val="36"/>
          <w:szCs w:val="36"/>
        </w:rPr>
        <w:t xml:space="preserve">Open Questions &amp; Risks</w:t>
      </w:r>
    </w:p>
    <w:p>
      <w:pPr>
        <w:pStyle w:val="Heading2"/>
        <w:pBdr>
          <w:bottom w:val="single" w:color="1A6B5C" w:sz="4" w:space="4"/>
        </w:pBdr>
        <w:spacing w:before="360" w:after="120"/>
      </w:pPr>
      <w:r>
        <w:rPr>
          <w:rFonts w:ascii="Arial" w:cs="Arial" w:eastAsia="Arial" w:hAnsi="Arial"/>
          <w:b/>
          <w:bCs/>
          <w:color w:val="1A6B5C"/>
          <w:sz w:val="28"/>
          <w:szCs w:val="28"/>
        </w:rPr>
        <w:t xml:space="preserve">Open Questions</w:t>
      </w:r>
    </w:p>
    <w:p>
      <w:pPr>
        <w:pStyle w:val="ListParagraph"/>
        <w:numPr>
          <w:ilvl w:val="0"/>
          <w:numId w:val="2"/>
        </w:numPr>
        <w:spacing w:before="60" w:after="60" w:line="320"/>
      </w:pPr>
      <w:r>
        <w:rPr>
          <w:rFonts w:ascii="Arial" w:cs="Arial" w:eastAsia="Arial" w:hAnsi="Arial"/>
          <w:color w:val="1A1A2E"/>
          <w:sz w:val="22"/>
          <w:szCs w:val="22"/>
        </w:rPr>
        <w:t xml:space="preserve">What extraction accuracy threshold triggers a 'low confidence' warning to users vs. silently failing? Define before Phase 2 launch.</w:t>
      </w:r>
    </w:p>
    <w:p>
      <w:pPr>
        <w:pStyle w:val="ListParagraph"/>
        <w:numPr>
          <w:ilvl w:val="0"/>
          <w:numId w:val="2"/>
        </w:numPr>
        <w:spacing w:before="60" w:after="60" w:line="320"/>
      </w:pPr>
      <w:r>
        <w:rPr>
          <w:rFonts w:ascii="Arial" w:cs="Arial" w:eastAsia="Arial" w:hAnsi="Arial"/>
          <w:color w:val="1A1A2E"/>
          <w:sz w:val="22"/>
          <w:szCs w:val="22"/>
        </w:rPr>
        <w:t xml:space="preserve">How do we handle reports where the AI generates an explanation that a doctor later contradicts? Liability framing needs legal review.</w:t>
      </w:r>
    </w:p>
    <w:p>
      <w:pPr>
        <w:pStyle w:val="ListParagraph"/>
        <w:numPr>
          <w:ilvl w:val="0"/>
          <w:numId w:val="2"/>
        </w:numPr>
        <w:spacing w:before="60" w:after="60" w:line="320"/>
      </w:pPr>
      <w:r>
        <w:rPr>
          <w:rFonts w:ascii="Arial" w:cs="Arial" w:eastAsia="Arial" w:hAnsi="Arial"/>
          <w:color w:val="1A1A2E"/>
          <w:sz w:val="22"/>
          <w:szCs w:val="22"/>
        </w:rPr>
        <w:t xml:space="preserve">Should the free tier allow trend charts for 2 reports only, to demonstrate the longitudinal value before paywall? Needs A/B testing.</w:t>
      </w:r>
    </w:p>
    <w:p>
      <w:pPr>
        <w:pStyle w:val="ListParagraph"/>
        <w:numPr>
          <w:ilvl w:val="0"/>
          <w:numId w:val="2"/>
        </w:numPr>
        <w:spacing w:before="60" w:after="60" w:line="320"/>
      </w:pPr>
      <w:r>
        <w:rPr>
          <w:rFonts w:ascii="Arial" w:cs="Arial" w:eastAsia="Arial" w:hAnsi="Arial"/>
          <w:color w:val="1A1A2E"/>
          <w:sz w:val="22"/>
          <w:szCs w:val="22"/>
        </w:rPr>
        <w:t xml:space="preserve">ABHA integration — does it create distribution advantage or regulatory complexity? Evaluate after initial PMF.</w:t>
      </w:r>
    </w:p>
    <w:p>
      <w:pPr>
        <w:pStyle w:val="ListParagraph"/>
        <w:numPr>
          <w:ilvl w:val="0"/>
          <w:numId w:val="2"/>
        </w:numPr>
        <w:spacing w:before="60" w:after="60" w:line="320"/>
      </w:pPr>
      <w:r>
        <w:rPr>
          <w:rFonts w:ascii="Arial" w:cs="Arial" w:eastAsia="Arial" w:hAnsi="Arial"/>
          <w:color w:val="1A1A2E"/>
          <w:sz w:val="22"/>
          <w:szCs w:val="22"/>
        </w:rPr>
        <w:t xml:space="preserve">Vernacular language support — Hindi first or regional language by market penetration data? Decide at 1,000 active users.</w:t>
      </w:r>
    </w:p>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Extraction accuracy insufficient on Indian lab formats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Validate on 50+ reports before any UI build. Invest in normalisation layer.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Eka Care copies comprehension feature</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Out-focus them. Depth of comprehension layer is the moat, not the concept.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Health data breach destroys trust</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Encryption, RLS, security review before launch. Privacy-first communication from day one.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Retention valley between upload 1 and upload 3</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Make upload 1 experience a 10. Design proactive re-engagement nudges.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Regulatory challenge on AI health explanations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Maintain non-diagnostic framing rigorously. Legal review of explanation copy pre-launch.</w:t>
            </w:r>
          </w:p>
        </w:tc>
      </w:tr>
    </w:tbl>
    <w:p>
      <w:r>
        <w:br w:type="page"/>
      </w:r>
    </w:p>
    <w:p>
      <w:pPr>
        <w:spacing w:before="480" w:after="120"/>
      </w:pPr>
      <w:r>
        <w:rPr>
          <w:rFonts w:ascii="Arial" w:cs="Arial" w:eastAsia="Arial" w:hAnsi="Arial"/>
          <w:b/>
          <w:bCs/>
          <w:caps/>
          <w:color w:val="1A6B5C"/>
          <w:sz w:val="18"/>
          <w:szCs w:val="18"/>
        </w:rPr>
        <w:t xml:space="preserve">● Section 11</w:t>
      </w:r>
    </w:p>
    <w:p>
      <w:pPr>
        <w:pStyle w:val="Heading1"/>
        <w:spacing w:before="480" w:after="160"/>
      </w:pPr>
      <w:r>
        <w:rPr>
          <w:rFonts w:ascii="Arial" w:cs="Arial" w:eastAsia="Arial" w:hAnsi="Arial"/>
          <w:b/>
          <w:bCs/>
          <w:color w:val="1A1A2E"/>
          <w:sz w:val="36"/>
          <w:szCs w:val="36"/>
        </w:rPr>
        <w:t xml:space="preserve">Success Metrics</w:t>
      </w:r>
    </w:p>
    <w:p>
      <w:pPr>
        <w:pStyle w:val="Heading2"/>
        <w:pBdr>
          <w:bottom w:val="single" w:color="1A6B5C" w:sz="4" w:space="4"/>
        </w:pBdr>
        <w:spacing w:before="360" w:after="120"/>
      </w:pPr>
      <w:r>
        <w:rPr>
          <w:rFonts w:ascii="Arial" w:cs="Arial" w:eastAsia="Arial" w:hAnsi="Arial"/>
          <w:b/>
          <w:bCs/>
          <w:color w:val="1A6B5C"/>
          <w:sz w:val="28"/>
          <w:szCs w:val="28"/>
        </w:rPr>
        <w:t xml:space="preserve">North Star Metric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C" w:sz="8"/>
              <w:left w:val="single" w:color="1A6B5C" w:sz="20"/>
              <w:bottom w:val="single" w:color="DDDDDD" w:sz="1"/>
              <w:right w:val="single" w:color="DDDDDD" w:sz="1"/>
            </w:tcBorders>
            <w:shd w:fill="E8F5F3" w:val="clear"/>
            <w:tcMar>
              <w:top w:type="dxa" w:w="160"/>
              <w:left w:type="dxa" w:w="200"/>
              <w:bottom w:type="dxa" w:w="160"/>
              <w:right w:type="dxa" w:w="200"/>
            </w:tcMar>
          </w:tcPr>
          <w:p>
            <w:pPr>
              <w:spacing w:before="0" w:after="60"/>
            </w:pPr>
            <w:r>
              <w:rPr>
                <w:rFonts w:ascii="Arial" w:cs="Arial" w:eastAsia="Arial" w:hAnsi="Arial"/>
                <w:b/>
                <w:bCs/>
                <w:color w:val="1A6B5C"/>
                <w:sz w:val="20"/>
                <w:szCs w:val="20"/>
              </w:rPr>
              <w:t xml:space="preserve">North Star</w:t>
            </w:r>
          </w:p>
          <w:p>
            <w:pPr>
              <w:spacing w:before="0" w:after="0" w:line="320"/>
            </w:pPr>
            <w:r>
              <w:rPr>
                <w:rFonts w:ascii="Arial" w:cs="Arial" w:eastAsia="Arial" w:hAnsi="Arial"/>
                <w:color w:val="1A1A2E"/>
                <w:sz w:val="21"/>
                <w:szCs w:val="21"/>
              </w:rPr>
              <w:t xml:space="preserve">Number of users who have uploaded 3 or more reports and returned to the app within 30 days of their third upload. This metric captures both retention and the longitudinal value unlock — the moment Vitalog becomes irreplaceable.</w:t>
            </w:r>
          </w:p>
        </w:tc>
      </w:tr>
    </w:tbl>
    <w:p>
      <w:pPr>
        <w:spacing w:before="200" w:after="0"/>
      </w:pPr>
      <w:r>
        <w:t xml:space="preserve"/>
      </w:r>
    </w:p>
    <w:p>
      <w:pPr>
        <w:pStyle w:val="Heading2"/>
        <w:pBdr>
          <w:bottom w:val="single" w:color="1A6B5C" w:sz="4" w:space="4"/>
        </w:pBdr>
        <w:spacing w:before="360" w:after="120"/>
      </w:pPr>
      <w:r>
        <w:rPr>
          <w:rFonts w:ascii="Arial" w:cs="Arial" w:eastAsia="Arial" w:hAnsi="Arial"/>
          <w:b/>
          <w:bCs/>
          <w:color w:val="1A6B5C"/>
          <w:sz w:val="28"/>
          <w:szCs w:val="28"/>
        </w:rPr>
        <w:t xml:space="preserve">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120"/>
            <w:tcBorders>
              <w:top w:val="single" w:color="DDDDDD" w:sz="1"/>
              <w:left w:val="single" w:color="DDDDDD" w:sz="1"/>
              <w:bottom w:val="single" w:color="DDDDDD" w:sz="1"/>
              <w:right w:val="single" w:color="DDDDDD" w:sz="1"/>
            </w:tcBorders>
            <w:shd w:fill="1A6B5C" w:val="clear"/>
            <w:tcMar>
              <w:top w:type="dxa" w:w="100"/>
              <w:left w:type="dxa" w:w="140"/>
              <w:bottom w:type="dxa" w:w="100"/>
              <w:right w:type="dxa" w:w="140"/>
            </w:tcMar>
          </w:tcPr>
          <w:p>
            <w:r>
              <w:rPr>
                <w:rFonts w:ascii="Arial" w:cs="Arial" w:eastAsia="Arial" w:hAnsi="Arial"/>
                <w:b/>
                <w:bCs/>
                <w:color w:val="FFFFFF"/>
                <w:sz w:val="20"/>
                <w:szCs w:val="20"/>
              </w:rPr>
              <w:t xml:space="preserve">Target at Month 6</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Upload → Explanation Read Rate</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 of uploads where user reads full explanation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&gt;70%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Day 7 Retention</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 of users active 7 days after signup</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&gt;35%</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Upload Frequency</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Average reports uploaded per active user per month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&gt;1.5</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 to Paid Conversion</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 of users who exceed free tier and convert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&gt;10%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Net Promoter Score</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Monthly NPS survey to active users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&gt;45</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Extraction Accuracy</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tcPr>
          <w:p>
            <w:r>
              <w:rPr>
                <w:rFonts w:ascii="Arial" w:cs="Arial" w:eastAsia="Arial" w:hAnsi="Arial"/>
                <w:b w:val="false"/>
                <w:bCs w:val="false"/>
                <w:color w:val="1A1A2E"/>
                <w:sz w:val="20"/>
                <w:szCs w:val="20"/>
              </w:rPr>
              <w:t xml:space="preserve">% of values correctly extracted vs. ground truth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&gt;85%</w:t>
            </w:r>
          </w:p>
        </w:tc>
      </w:tr>
    </w:tbl>
    <w:p>
      <w:pPr>
        <w:spacing w:before="400" w:after="0"/>
      </w:pPr>
      <w:r>
        <w:t xml:space="preserve"/>
      </w:r>
    </w:p>
    <w:p>
      <w:pPr>
        <w:pBdr>
          <w:top w:val="single" w:color="1A6B5C" w:sz="4" w:space="8"/>
        </w:pBdr>
        <w:spacing w:before="0" w:after="0"/>
      </w:pPr>
      <w:r>
        <w:t xml:space="preserve"/>
      </w:r>
    </w:p>
    <w:p>
      <w:pPr>
        <w:spacing w:before="120" w:after="0"/>
      </w:pPr>
      <w:r>
        <w:t xml:space="preserve"/>
      </w:r>
    </w:p>
    <w:p>
      <w:pPr>
        <w:jc w:val="center"/>
      </w:pPr>
      <w:r>
        <w:rPr>
          <w:rFonts w:ascii="Arial" w:cs="Arial" w:eastAsia="Arial" w:hAnsi="Arial"/>
          <w:b/>
          <w:bCs/>
          <w:color w:val="1A6B5C"/>
          <w:sz w:val="24"/>
          <w:szCs w:val="24"/>
        </w:rPr>
        <w:t xml:space="preserve">VITALOG — Your Health, Understood.</w:t>
      </w:r>
    </w:p>
    <w:p>
      <w:pPr>
        <w:spacing w:before="80" w:after="0"/>
        <w:jc w:val="center"/>
      </w:pPr>
      <w:r>
        <w:rPr>
          <w:rFonts w:ascii="Arial" w:cs="Arial" w:eastAsia="Arial" w:hAnsi="Arial"/>
          <w:color w:val="6B7280"/>
          <w:sz w:val="18"/>
          <w:szCs w:val="18"/>
        </w:rPr>
        <w:t xml:space="preserve">Version 1.0  |  Confidential  |  For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spacing w:before="120" w:after="0"/>
    </w:pPr>
    <w:r>
      <w:rPr>
        <w:rFonts w:ascii="Arial" w:cs="Arial" w:eastAsia="Arial" w:hAnsi="Arial"/>
        <w:color w:val="6B7280"/>
        <w:sz w:val="18"/>
        <w:szCs w:val="18"/>
      </w:rPr>
      <w:t xml:space="preserve">© 2025 Vitalog. All rights reserved.</w:t>
    </w:r>
    <w:r>
      <w:rPr>
        <w:rFonts w:ascii="Arial" w:cs="Arial" w:eastAsia="Arial" w:hAnsi="Arial"/>
        <w:color w:val="6B72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5C" w:sz="4" w:space="4"/>
      </w:pBdr>
      <w:spacing w:before="0" w:after="120"/>
    </w:pPr>
    <w:r>
      <w:rPr>
        <w:rFonts w:ascii="Arial" w:cs="Arial" w:eastAsia="Arial" w:hAnsi="Arial"/>
        <w:b/>
        <w:bCs/>
        <w:color w:val="1A6B5C"/>
        <w:sz w:val="20"/>
        <w:szCs w:val="20"/>
      </w:rPr>
      <w:t xml:space="preserve">VITALOG</w:t>
    </w:r>
    <w:r>
      <w:rPr>
        <w:rFonts w:ascii="Arial" w:cs="Arial" w:eastAsia="Arial" w:hAnsi="Arial"/>
        <w:color w:val="6B7280"/>
        <w:sz w:val="20"/>
        <w:szCs w:val="20"/>
      </w:rPr>
      <w:t xml:space="preserve">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6B5C"/>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2026-04-01T12:39:17.124Z</dcterms:created>
  <dcterms:modified xsi:type="dcterms:W3CDTF">2026-04-01T12:39:17.125Z</dcterms:modified>
</cp:coreProperties>
</file>

<file path=docProps/custom.xml><?xml version="1.0" encoding="utf-8"?>
<Properties xmlns="http://schemas.openxmlformats.org/officeDocument/2006/custom-properties" xmlns:vt="http://schemas.openxmlformats.org/officeDocument/2006/docPropsVTypes"/>
</file>