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300" w:line="240"/>
        <w:ind w:right="0" w:left="0" w:firstLine="0"/>
        <w:jc w:val="center"/>
        <w:rPr>
          <w:rFonts w:ascii="Calibri" w:hAnsi="Calibri" w:cs="Calibri" w:eastAsia="Calibri"/>
          <w:color w:val="17365D"/>
          <w:spacing w:val="5"/>
          <w:position w:val="0"/>
          <w:sz w:val="52"/>
          <w:shd w:fill="auto" w:val="clear"/>
        </w:rPr>
      </w:pPr>
      <w:r>
        <w:rPr>
          <w:rFonts w:ascii="Calibri" w:hAnsi="Calibri" w:cs="Calibri" w:eastAsia="Calibri"/>
          <w:color w:val="17365D"/>
          <w:spacing w:val="5"/>
          <w:position w:val="0"/>
          <w:sz w:val="52"/>
          <w:shd w:fill="auto" w:val="clear"/>
        </w:rPr>
        <w:t xml:space="preserve">Solution Document: Hosho CRM Enterprise Edition</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1. Background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Tracking sales pipelines through standard manual methods or spreadsheets often leads to fragmented data, missed follow-ups, and a lack of clear visibility into revenue forecasting. Sales teams require a unified interface to log activities, move deals across stages, and track product inventory. Hosho CRM was developed to solve this exact problem by providing a centralized, interactive system that handles everything from lead capture to deal closure, accompanied by a dedicated analytics dashboard for performance tracking.</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2. Requirement Overview</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core objective was to build a functional, lightweight Sales Management System. The primary requirements included:</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database to store records for Customers, Leads, Opportunities, Products, and Activities.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 backend API to handle CRUD (Create, Read, Update, Delete) operations securely.</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 intuitive, interactive frontend dashboard to visualize the sales pipeline.</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An integration-ready data structure to export sales data for advanced BI reporting (Power BI).</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3. Solution Approach</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 opted for a decoupled architecture to separate the presentation layer from the business logic. Instead of relying on heavy frontend frameworks, I used Vanilla JavaScript, HTML, and CSS. This kept the client side extremely lightweight and dependency-free. For the backend, Python's FastAPI was selected due to its asynchronous capabilities and automatic API documentation generation. This setup allowed for rapid prototyping and easy debugging during development on the local environment.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4. Solution Architecture (diagram)</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application follows a standard 3-tier Client-Server architecture. Below is the structural flow of the application:</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ourier New" w:hAnsi="Courier New" w:cs="Courier New" w:eastAsia="Courier New"/>
          <w:color w:val="auto"/>
          <w:spacing w:val="0"/>
          <w:position w:val="0"/>
          <w:sz w:val="22"/>
          <w:shd w:fill="auto" w:val="clear"/>
        </w:rPr>
        <w:t xml:space="preserve">[ FRONTEND (UI Layer) ]</w:t>
        <w:br/>
        <w:t xml:space="preserve">  Vanilla JS, HTML, CSS (Fetch API for async requests)</w:t>
        <w:br/>
        <w:t xml:space="preserve">           |</w:t>
        <w:br/>
        <w:t xml:space="preserve">           v (REST API - JSON Responses)</w:t>
        <w:br/>
        <w:t xml:space="preserve">           |</w:t>
        <w:br/>
        <w:t xml:space="preserve">[ BACKEND (Application Layer) ]</w:t>
        <w:br/>
        <w:t xml:space="preserve">  Python FastAPI (Uvicorn Server, Pydantic Validation)</w:t>
        <w:br/>
        <w:t xml:space="preserve">           |</w:t>
        <w:br/>
        <w:t xml:space="preserve">           v (SQL Queries)</w:t>
        <w:br/>
        <w:t xml:space="preserve">           |</w:t>
        <w:br/>
        <w:t xml:space="preserve">[ DATABASE (Data Layer) ]</w:t>
        <w:br/>
        <w:t xml:space="preserve">  SQLite / MySQL</w:t>
        <w:br/>
        <w:br/>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[Note for Evaluator: Please refer to the attached Hosho_CRM_ERD.png file for the complete Database Entity Relationship Diagram.]</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5. Technical Details (components/tools/technology used and why)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project was structured into modular components to maintain code readability and scalability:</w:t>
        <w:br/>
        <w:br/>
        <w:t xml:space="preserve">1. Backend (FastAPI &amp; Python): Chosen for its minimal boilerplate, fast execution, and built-in data validation (Pydantic). The API is divided into specific routers (leads, opportunities, customers) to keep the main application file clean.</w:t>
        <w:br/>
        <w:br/>
        <w:t xml:space="preserve">2. Frontend (HTML/CSS/Vanilla JS): Chosen to eliminate complex build steps (like Webpack/Node modules). JavaScript handles DOM manipulation dynamically, updating deal stages and charts without full page reloads.</w:t>
        <w:br/>
        <w:br/>
        <w:t xml:space="preserve">3. Database (SQLite/MySQL): Selected for simple, relational data persistence matching the ERD schema. It safely handles foreign key relationships between Users, Opportunities, and Customers.</w:t>
        <w:br/>
        <w:br/>
        <w:t xml:space="preserve">4. Development Workflow: The entire development and testing lifecycle was executed in an Ubuntu/Linux terminal environment (WSL). The application was served locally using 'uvicorn app.main:app --reload', which made it straightforward to monitor live server logs and debug API endpoints.</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6. Benefits of this solutions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Zero Frontend Build Step: By bypassing heavy JavaScript frameworks, the application can be opened and tested instantly in any browser.</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High Performance: FastAPI executes requests rapidly, ensuring the CRM metrics and tables load without noticeable latency.</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Maintainability: The clear separation of API routers and database models makes it easy for developers to add new modules (e.g., Invoicing) without rewriting core logic.</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Platform Independent: Due to its standard stack, it can be deployed easily on any cloud provider or Linux server.</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7. Alternate approach (Mandatory)</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Initially, building the backend using Django or the MERN stack (MongoDB, Express, React, Node) was considered. However, Django felt too monolithic and heavy for a system that primarily needed fast, simple REST APIs. The MERN stack would require managing a large 'node_modules' directory and complex state management on the frontend. FastAPI combined with Vanilla JavaScript was ultimately chosen because it is leaner, highly performant, and drastically reduces the overhead of configuring the development environment.</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8. Assumptions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The current version of the CRM operates as a single-tenant system intended for internal company use.</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It is assumed that the Power BI dashboard will be refreshed periodically via a scheduled gateway or manual data import to reflect the latest database entries.</w:t>
        <w:br/>
      </w:r>
      <w:r>
        <w:rPr>
          <w:rFonts w:ascii="Cambria" w:hAnsi="Cambria" w:cs="Cambria" w:eastAsia="Cambria"/>
          <w:color w:val="auto"/>
          <w:spacing w:val="0"/>
          <w:position w:val="0"/>
          <w:sz w:val="22"/>
          <w:shd w:fill="auto" w:val="clear"/>
        </w:rPr>
        <w:t xml:space="preserve">•</w:t>
      </w:r>
      <w:r>
        <w:rPr>
          <w:rFonts w:ascii="Cambria" w:hAnsi="Cambria" w:cs="Cambria" w:eastAsia="Cambria"/>
          <w:color w:val="auto"/>
          <w:spacing w:val="0"/>
          <w:position w:val="0"/>
          <w:sz w:val="22"/>
          <w:shd w:fill="auto" w:val="clear"/>
        </w:rPr>
        <w:t xml:space="preserve"> Localhost execution is assumed for the prototype evaluation phase.</w:t>
      </w:r>
    </w:p>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9. Screenshot of Apps Screens and Power Bi Dashboards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Please find the screenshots of the working application and analytics dashboard below:</w:t>
        <w:br/>
      </w:r>
    </w:p>
    <w:p>
      <w:pPr>
        <w:spacing w:before="0" w:after="200" w:line="240"/>
        <w:ind w:right="0" w:left="0" w:firstLine="0"/>
        <w:jc w:val="left"/>
        <w:rPr>
          <w:rFonts w:ascii="Cambria" w:hAnsi="Cambria" w:cs="Cambria" w:eastAsia="Cambria"/>
          <w:color w:val="auto"/>
          <w:spacing w:val="0"/>
          <w:position w:val="0"/>
          <w:sz w:val="22"/>
          <w:shd w:fill="auto" w:val="clear"/>
        </w:rPr>
      </w:pPr>
      <w:r>
        <w:object w:dxaOrig="8640" w:dyaOrig="4860">
          <v:rect xmlns:o="urn:schemas-microsoft-com:office:office" xmlns:v="urn:schemas-microsoft-com:vml" id="rectole0000000000" style="width:432.000000pt;height:243.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40"/>
        <w:ind w:right="0" w:left="0" w:firstLine="0"/>
        <w:jc w:val="left"/>
        <w:rPr>
          <w:rFonts w:ascii="Cambria" w:hAnsi="Cambria" w:cs="Cambria" w:eastAsia="Cambria"/>
          <w:color w:val="auto"/>
          <w:spacing w:val="0"/>
          <w:position w:val="0"/>
          <w:sz w:val="22"/>
          <w:shd w:fill="auto" w:val="clear"/>
        </w:rPr>
      </w:pPr>
    </w:p>
    <w:p>
      <w:pPr>
        <w:spacing w:before="0" w:after="200" w:line="240"/>
        <w:ind w:right="0" w:left="0" w:firstLine="0"/>
        <w:jc w:val="left"/>
        <w:rPr>
          <w:rFonts w:ascii="Cambria" w:hAnsi="Cambria" w:cs="Cambria" w:eastAsia="Cambria"/>
          <w:color w:val="auto"/>
          <w:spacing w:val="0"/>
          <w:position w:val="0"/>
          <w:sz w:val="22"/>
          <w:shd w:fill="auto" w:val="clear"/>
        </w:rPr>
      </w:pPr>
      <w:r>
        <w:object w:dxaOrig="8640" w:dyaOrig="4860">
          <v:rect xmlns:o="urn:schemas-microsoft-com:office:office" xmlns:v="urn:schemas-microsoft-com:vml" id="rectole0000000001" style="width:432.000000pt;height:243.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br/>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br/>
      </w:r>
    </w:p>
    <w:p>
      <w:pPr>
        <w:spacing w:before="0" w:after="200" w:line="240"/>
        <w:ind w:right="0" w:left="0" w:firstLine="0"/>
        <w:jc w:val="left"/>
        <w:rPr>
          <w:rFonts w:ascii="Cambria" w:hAnsi="Cambria" w:cs="Cambria" w:eastAsia="Cambria"/>
          <w:color w:val="auto"/>
          <w:spacing w:val="0"/>
          <w:position w:val="0"/>
          <w:sz w:val="22"/>
          <w:shd w:fill="auto" w:val="clear"/>
        </w:rPr>
      </w:pPr>
      <w:r>
        <w:object w:dxaOrig="8640" w:dyaOrig="8244">
          <v:rect xmlns:o="urn:schemas-microsoft-com:office:office" xmlns:v="urn:schemas-microsoft-com:vml" id="rectole0000000002" style="width:432.000000pt;height:412.2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br/>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media/image2.wmf" Id="docRId5" Type="http://schemas.openxmlformats.org/officeDocument/2006/relationships/image" /><Relationship Target="styles.xml" Id="docRId7"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numbering.xml" Id="docRId6" Type="http://schemas.openxmlformats.org/officeDocument/2006/relationships/numbering" /></Relationships>
</file>