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b/>
          <w:color w:val="2E74B5"/>
          <w:sz w:val="20"/>
        </w:rPr>
        <w:t>SECURITY VALIDATION REPORT</w:t>
      </w:r>
    </w:p>
    <w:p>
      <w:pPr>
        <w:spacing w:after="80"/>
      </w:pPr>
      <w:r>
        <w:rPr>
          <w:b/>
          <w:color w:val="17365D"/>
          <w:sz w:val="46"/>
        </w:rPr>
        <w:t>TEST-001 — Network Reconnaissance Detection</w:t>
      </w:r>
    </w:p>
    <w:p>
      <w:pPr>
        <w:spacing w:after="280"/>
      </w:pPr>
      <w:r>
        <w:rPr>
          <w:color w:val="5B6573"/>
          <w:sz w:val="24"/>
        </w:rPr>
        <w:t>AI-Augmented SOC Triage Platform | Controlled VMware Laboratory</w:t>
      </w:r>
    </w:p>
    <w:tbl>
      <w:tblPr>
        <w:tblW w:type="auto" w:w="0"/>
        <w:jc w:val="center"/>
        <w:tblLayout w:type="fixed"/>
        <w:tblLook w:firstColumn="1" w:firstRow="1" w:lastColumn="0" w:lastRow="0" w:noHBand="0" w:noVBand="1" w:val="04A0"/>
      </w:tblPr>
      <w:tblGrid>
        <w:gridCol w:w="2376"/>
        <w:gridCol w:w="6984"/>
      </w:tblGrid>
      <w:tr>
        <w:trPr>
          <w:tblHeader/>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9"/>
              </w:rPr>
              <w:t>Field</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9"/>
              </w:rPr>
              <w:t>Recorded value</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Report date</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25 August 2026 (IST)</w:t>
            </w:r>
          </w:p>
        </w:tc>
      </w:tr>
      <w:tr>
        <w:tc>
          <w:tcPr>
            <w:tcW w:type="dxa" w:w="2376"/>
            <w:vAlign w:val="center"/>
            <w:tcMar>
              <w:top w:w="80" w:type="dxa"/>
              <w:start w:w="120" w:type="dxa"/>
              <w:bottom w:w="80" w:type="dxa"/>
              <w:end w:w="120" w:type="dxa"/>
            </w:tcMar>
            <w:shd w:fill="F7F9FB"/>
          </w:tcPr>
          <w:p>
            <w:pPr>
              <w:spacing w:after="0"/>
            </w:pPr>
            <w:r/>
            <w:r>
              <w:rPr>
                <w:rFonts w:ascii="Calibri" w:hAnsi="Calibri"/>
                <w:b w:val="0"/>
                <w:color w:val="000000"/>
                <w:sz w:val="19"/>
              </w:rPr>
              <w:t>Prepared by</w:t>
            </w:r>
          </w:p>
        </w:tc>
        <w:tc>
          <w:tcPr>
            <w:tcW w:type="dxa" w:w="6984"/>
            <w:vAlign w:val="center"/>
            <w:tcMar>
              <w:top w:w="80" w:type="dxa"/>
              <w:start w:w="120" w:type="dxa"/>
              <w:bottom w:w="80" w:type="dxa"/>
              <w:end w:w="120" w:type="dxa"/>
            </w:tcMar>
            <w:shd w:fill="F7F9FB"/>
          </w:tcPr>
          <w:p>
            <w:pPr>
              <w:spacing w:after="0"/>
            </w:pPr>
            <w:r/>
            <w:r>
              <w:rPr>
                <w:rFonts w:ascii="Calibri" w:hAnsi="Calibri"/>
                <w:b w:val="0"/>
                <w:color w:val="000000"/>
                <w:sz w:val="19"/>
              </w:rPr>
              <w:t>Parakh Shinde</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Classification</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Internal lab evidence</w:t>
            </w:r>
          </w:p>
        </w:tc>
      </w:tr>
      <w:tr>
        <w:tc>
          <w:tcPr>
            <w:tcW w:type="dxa" w:w="2376"/>
            <w:vAlign w:val="center"/>
            <w:tcMar>
              <w:top w:w="80" w:type="dxa"/>
              <w:start w:w="120" w:type="dxa"/>
              <w:bottom w:w="80" w:type="dxa"/>
              <w:end w:w="120" w:type="dxa"/>
            </w:tcMar>
            <w:shd w:fill="F7F9FB"/>
          </w:tcPr>
          <w:p>
            <w:pPr>
              <w:spacing w:after="0"/>
            </w:pPr>
            <w:r/>
            <w:r>
              <w:rPr>
                <w:rFonts w:ascii="Calibri" w:hAnsi="Calibri"/>
                <w:b w:val="0"/>
                <w:color w:val="000000"/>
                <w:sz w:val="19"/>
              </w:rPr>
              <w:t>Frameworks</w:t>
            </w:r>
          </w:p>
        </w:tc>
        <w:tc>
          <w:tcPr>
            <w:tcW w:type="dxa" w:w="6984"/>
            <w:vAlign w:val="center"/>
            <w:tcMar>
              <w:top w:w="80" w:type="dxa"/>
              <w:start w:w="120" w:type="dxa"/>
              <w:bottom w:w="80" w:type="dxa"/>
              <w:end w:w="120" w:type="dxa"/>
            </w:tcMar>
            <w:shd w:fill="F7F9FB"/>
          </w:tcPr>
          <w:p>
            <w:pPr>
              <w:spacing w:after="0"/>
            </w:pPr>
            <w:r/>
            <w:r>
              <w:rPr>
                <w:rFonts w:ascii="Calibri" w:hAnsi="Calibri"/>
                <w:b w:val="0"/>
                <w:color w:val="000000"/>
                <w:sz w:val="19"/>
              </w:rPr>
              <w:t>ISO/IEC 27001:2022 aligned; NIST CSF 2.0; NIST SP 800-61; MITRE ATT&amp;CK</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Test status</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PARTIALLY PASSED — telemetry observed; alert detection not proven</w:t>
            </w:r>
          </w:p>
        </w:tc>
      </w:tr>
    </w:tbl>
    <w:p>
      <w:pPr>
        <w:pStyle w:val="Heading1"/>
      </w:pPr>
      <w:r>
        <w:t>1. Executive conclusion</w:t>
      </w:r>
    </w:p>
    <w:p>
      <w:r>
        <w:t>The test confirmed that Splunk received near-real-time Suricata telemetry associated with an SSH connection path. Four events were returned for source IP 10.0.10.40 and destination 10.0.10.10 on TCP port 22. The evidence proves collection, indexing, field extraction, and cross-host visibility.</w:t>
      </w:r>
    </w:p>
    <w:tbl>
      <w:tblPr>
        <w:tblW w:type="auto" w:w="0"/>
        <w:tblLayout w:type="fixed"/>
        <w:tblLook w:firstColumn="1" w:firstRow="1" w:lastColumn="0" w:lastRow="0" w:noHBand="0" w:noVBand="1" w:val="04A0"/>
      </w:tblPr>
      <w:tblGrid>
        <w:gridCol w:w="9360"/>
      </w:tblGrid>
      <w:tr>
        <w:tc>
          <w:tcPr>
            <w:tcW w:type="dxa" w:w="9360"/>
            <w:shd w:fill="FFF4CE"/>
            <w:tcMar>
              <w:top w:w="140" w:type="dxa"/>
              <w:start w:w="180" w:type="dxa"/>
              <w:bottom w:w="140" w:type="dxa"/>
              <w:end w:w="180" w:type="dxa"/>
            </w:tcMar>
          </w:tcPr>
          <w:p>
            <w:pPr>
              <w:spacing w:after="0"/>
            </w:pPr>
            <w:r>
              <w:rPr>
                <w:b/>
                <w:color w:val="9A6700"/>
              </w:rPr>
              <w:t xml:space="preserve">AUDIT RESULT  </w:t>
            </w:r>
            <w:r>
              <w:t>Partially Passed. No Suricata alert signature was present, so the supplied evidence does not prove that a network reconnaissance detection fired.</w:t>
            </w:r>
          </w:p>
        </w:tc>
      </w:tr>
    </w:tbl>
    <w:p>
      <w:r>
        <w:t>This distinction is intentional: a mature SOC report separates observed network activity from a confirmed detection. TEST-001 must be retested using the authorized Kali source and intended target, with an alert-producing rule or correlation search.</w:t>
      </w:r>
    </w:p>
    <w:p>
      <w:pPr>
        <w:pStyle w:val="Heading1"/>
      </w:pPr>
      <w:r>
        <w:t>2. Scope and authorization</w:t>
      </w:r>
    </w:p>
    <w:tbl>
      <w:tblPr>
        <w:tblW w:type="auto" w:w="0"/>
        <w:jc w:val="center"/>
        <w:tblLayout w:type="fixed"/>
        <w:tblLook w:firstColumn="1" w:firstRow="1" w:lastColumn="0" w:lastRow="0" w:noHBand="0" w:noVBand="1" w:val="04A0"/>
      </w:tblPr>
      <w:tblGrid>
        <w:gridCol w:w="2376"/>
        <w:gridCol w:w="6984"/>
      </w:tblGrid>
      <w:tr>
        <w:trPr>
          <w:tblHeader/>
        </w:trPr>
        <w:tc>
          <w:tcPr>
            <w:tcW w:type="dxa" w:w="4680"/>
            <w:vAlign w:val="center"/>
            <w:tcMar>
              <w:top w:w="80" w:type="dxa"/>
              <w:start w:w="120" w:type="dxa"/>
              <w:bottom w:w="80" w:type="dxa"/>
              <w:end w:w="120" w:type="dxa"/>
            </w:tcMar>
            <w:shd w:fill="17365D"/>
          </w:tcPr>
          <w:p>
            <w:pPr>
              <w:spacing w:after="0"/>
            </w:pPr>
            <w:r/>
            <w:r>
              <w:rPr>
                <w:rFonts w:ascii="Calibri" w:hAnsi="Calibri"/>
                <w:b/>
                <w:color w:val="FFFFFF"/>
                <w:sz w:val="19"/>
              </w:rPr>
              <w:t>Item</w:t>
            </w:r>
          </w:p>
        </w:tc>
        <w:tc>
          <w:tcPr>
            <w:tcW w:type="dxa" w:w="4680"/>
            <w:vAlign w:val="center"/>
            <w:tcMar>
              <w:top w:w="80" w:type="dxa"/>
              <w:start w:w="120" w:type="dxa"/>
              <w:bottom w:w="80" w:type="dxa"/>
              <w:end w:w="120" w:type="dxa"/>
            </w:tcMar>
            <w:shd w:fill="17365D"/>
          </w:tcPr>
          <w:p>
            <w:pPr>
              <w:spacing w:after="0"/>
            </w:pPr>
            <w:r/>
            <w:r>
              <w:rPr>
                <w:rFonts w:ascii="Calibri" w:hAnsi="Calibri"/>
                <w:b/>
                <w:color w:val="FFFFFF"/>
                <w:sz w:val="19"/>
              </w:rPr>
              <w:t>Scope</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Environment</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Private VMware cybersecurity laboratory only</w:t>
            </w:r>
          </w:p>
        </w:tc>
      </w:tr>
      <w:tr>
        <w:tc>
          <w:tcPr>
            <w:tcW w:type="dxa" w:w="2376"/>
            <w:vAlign w:val="center"/>
            <w:tcMar>
              <w:top w:w="80" w:type="dxa"/>
              <w:start w:w="120" w:type="dxa"/>
              <w:bottom w:w="80" w:type="dxa"/>
              <w:end w:w="120" w:type="dxa"/>
            </w:tcMar>
            <w:shd w:fill="F7F9FB"/>
          </w:tcPr>
          <w:p>
            <w:pPr>
              <w:spacing w:after="0"/>
            </w:pPr>
            <w:r/>
            <w:r>
              <w:rPr>
                <w:rFonts w:ascii="Calibri" w:hAnsi="Calibri"/>
                <w:b w:val="0"/>
                <w:color w:val="000000"/>
                <w:sz w:val="19"/>
              </w:rPr>
              <w:t>Authorized systems</w:t>
            </w:r>
          </w:p>
        </w:tc>
        <w:tc>
          <w:tcPr>
            <w:tcW w:type="dxa" w:w="6984"/>
            <w:vAlign w:val="center"/>
            <w:tcMar>
              <w:top w:w="80" w:type="dxa"/>
              <w:start w:w="120" w:type="dxa"/>
              <w:bottom w:w="80" w:type="dxa"/>
              <w:end w:w="120" w:type="dxa"/>
            </w:tcMar>
            <w:shd w:fill="F7F9FB"/>
          </w:tcPr>
          <w:p>
            <w:pPr>
              <w:spacing w:after="0"/>
            </w:pPr>
            <w:r/>
            <w:r>
              <w:rPr>
                <w:rFonts w:ascii="Calibri" w:hAnsi="Calibri"/>
                <w:b w:val="0"/>
                <w:color w:val="000000"/>
                <w:sz w:val="19"/>
              </w:rPr>
              <w:t>SOC server 10.0.10.10; web server 10.0.10.20; Windows endpoint; authorized Kali host</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Test method</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Bounded Nmap SYN/service scan; no destructive exploitation</w:t>
            </w:r>
          </w:p>
        </w:tc>
      </w:tr>
      <w:tr>
        <w:tc>
          <w:tcPr>
            <w:tcW w:type="dxa" w:w="2376"/>
            <w:vAlign w:val="center"/>
            <w:tcMar>
              <w:top w:w="80" w:type="dxa"/>
              <w:start w:w="120" w:type="dxa"/>
              <w:bottom w:w="80" w:type="dxa"/>
              <w:end w:w="120" w:type="dxa"/>
            </w:tcMar>
            <w:shd w:fill="F7F9FB"/>
          </w:tcPr>
          <w:p>
            <w:pPr>
              <w:spacing w:after="0"/>
            </w:pPr>
            <w:r/>
            <w:r>
              <w:rPr>
                <w:rFonts w:ascii="Calibri" w:hAnsi="Calibri"/>
                <w:b w:val="0"/>
                <w:color w:val="000000"/>
                <w:sz w:val="19"/>
              </w:rPr>
              <w:t>Excluded</w:t>
            </w:r>
          </w:p>
        </w:tc>
        <w:tc>
          <w:tcPr>
            <w:tcW w:type="dxa" w:w="6984"/>
            <w:vAlign w:val="center"/>
            <w:tcMar>
              <w:top w:w="80" w:type="dxa"/>
              <w:start w:w="120" w:type="dxa"/>
              <w:bottom w:w="80" w:type="dxa"/>
              <w:end w:w="120" w:type="dxa"/>
            </w:tcMar>
            <w:shd w:fill="F7F9FB"/>
          </w:tcPr>
          <w:p>
            <w:pPr>
              <w:spacing w:after="0"/>
            </w:pPr>
            <w:r/>
            <w:r>
              <w:rPr>
                <w:rFonts w:ascii="Calibri" w:hAnsi="Calibri"/>
                <w:b w:val="0"/>
                <w:color w:val="000000"/>
                <w:sz w:val="19"/>
              </w:rPr>
              <w:t>Public systems, uncontrolled DoS/DDoS, destructive malware, credential theft and persistence</w:t>
            </w:r>
          </w:p>
        </w:tc>
      </w:tr>
      <w:tr>
        <w:tc>
          <w:tcPr>
            <w:tcW w:type="dxa" w:w="2376"/>
            <w:vAlign w:val="center"/>
            <w:tcMar>
              <w:top w:w="80" w:type="dxa"/>
              <w:start w:w="120" w:type="dxa"/>
              <w:bottom w:w="80" w:type="dxa"/>
              <w:end w:w="120" w:type="dxa"/>
            </w:tcMar>
          </w:tcPr>
          <w:p>
            <w:pPr>
              <w:spacing w:after="0"/>
            </w:pPr>
            <w:r/>
            <w:r>
              <w:rPr>
                <w:rFonts w:ascii="Calibri" w:hAnsi="Calibri"/>
                <w:b w:val="0"/>
                <w:color w:val="000000"/>
                <w:sz w:val="19"/>
              </w:rPr>
              <w:t>Primary objective</w:t>
            </w:r>
          </w:p>
        </w:tc>
        <w:tc>
          <w:tcPr>
            <w:tcW w:type="dxa" w:w="6984"/>
            <w:vAlign w:val="center"/>
            <w:tcMar>
              <w:top w:w="80" w:type="dxa"/>
              <w:start w:w="120" w:type="dxa"/>
              <w:bottom w:w="80" w:type="dxa"/>
              <w:end w:w="120" w:type="dxa"/>
            </w:tcMar>
          </w:tcPr>
          <w:p>
            <w:pPr>
              <w:spacing w:after="0"/>
            </w:pPr>
            <w:r/>
            <w:r>
              <w:rPr>
                <w:rFonts w:ascii="Calibri" w:hAnsi="Calibri"/>
                <w:b w:val="0"/>
                <w:color w:val="000000"/>
                <w:sz w:val="19"/>
              </w:rPr>
              <w:t>Validate telemetry, detection, triage, investigation and reporting workflow</w:t>
            </w:r>
          </w:p>
        </w:tc>
      </w:tr>
    </w:tbl>
    <w:p>
      <w:pPr>
        <w:pStyle w:val="Heading1"/>
      </w:pPr>
      <w:r>
        <w:t>3. Expected versus observed</w:t>
      </w:r>
    </w:p>
    <w:tbl>
      <w:tblPr>
        <w:tblW w:type="auto" w:w="0"/>
        <w:jc w:val="center"/>
        <w:tblLayout w:type="fixed"/>
        <w:tblLook w:firstColumn="1" w:firstRow="1" w:lastColumn="0" w:lastRow="0" w:noHBand="0" w:noVBand="1" w:val="04A0"/>
      </w:tblPr>
      <w:tblGrid>
        <w:gridCol w:w="2088"/>
        <w:gridCol w:w="2592"/>
        <w:gridCol w:w="3096"/>
        <w:gridCol w:w="1584"/>
      </w:tblGrid>
      <w:tr>
        <w:trPr>
          <w:tblHeader/>
        </w:trPr>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Validation point</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Expected</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Observed</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Result</w:t>
            </w:r>
          </w:p>
        </w:tc>
      </w:tr>
      <w:tr>
        <w:tc>
          <w:tcPr>
            <w:tcW w:type="dxa" w:w="2088"/>
            <w:vAlign w:val="center"/>
            <w:tcMar>
              <w:top w:w="80" w:type="dxa"/>
              <w:start w:w="120" w:type="dxa"/>
              <w:bottom w:w="80" w:type="dxa"/>
              <w:end w:w="120" w:type="dxa"/>
            </w:tcMar>
          </w:tcPr>
          <w:p>
            <w:pPr>
              <w:spacing w:after="0"/>
            </w:pPr>
            <w:r/>
            <w:r>
              <w:rPr>
                <w:rFonts w:ascii="Calibri" w:hAnsi="Calibri"/>
                <w:b w:val="0"/>
                <w:color w:val="000000"/>
                <w:sz w:val="19"/>
              </w:rPr>
              <w:t>Source identity</w:t>
            </w:r>
          </w:p>
        </w:tc>
        <w:tc>
          <w:tcPr>
            <w:tcW w:type="dxa" w:w="2592"/>
            <w:vAlign w:val="center"/>
            <w:tcMar>
              <w:top w:w="80" w:type="dxa"/>
              <w:start w:w="120" w:type="dxa"/>
              <w:bottom w:w="80" w:type="dxa"/>
              <w:end w:w="120" w:type="dxa"/>
            </w:tcMar>
          </w:tcPr>
          <w:p>
            <w:pPr>
              <w:spacing w:after="0"/>
            </w:pPr>
            <w:r/>
            <w:r>
              <w:rPr>
                <w:rFonts w:ascii="Calibri" w:hAnsi="Calibri"/>
                <w:b w:val="0"/>
                <w:color w:val="000000"/>
                <w:sz w:val="19"/>
              </w:rPr>
              <w:t>Authorized Kali IP recorded</w:t>
            </w:r>
          </w:p>
        </w:tc>
        <w:tc>
          <w:tcPr>
            <w:tcW w:type="dxa" w:w="3096"/>
            <w:vAlign w:val="center"/>
            <w:tcMar>
              <w:top w:w="80" w:type="dxa"/>
              <w:start w:w="120" w:type="dxa"/>
              <w:bottom w:w="80" w:type="dxa"/>
              <w:end w:w="120" w:type="dxa"/>
            </w:tcMar>
          </w:tcPr>
          <w:p>
            <w:pPr>
              <w:spacing w:after="0"/>
            </w:pPr>
            <w:r/>
            <w:r>
              <w:rPr>
                <w:rFonts w:ascii="Calibri" w:hAnsi="Calibri"/>
                <w:b w:val="0"/>
                <w:color w:val="000000"/>
                <w:sz w:val="19"/>
              </w:rPr>
              <w:t>10.0.10.40</w:t>
            </w:r>
          </w:p>
        </w:tc>
        <w:tc>
          <w:tcPr>
            <w:tcW w:type="dxa" w:w="1584"/>
            <w:vAlign w:val="center"/>
            <w:tcMar>
              <w:top w:w="80" w:type="dxa"/>
              <w:start w:w="120" w:type="dxa"/>
              <w:bottom w:w="80" w:type="dxa"/>
              <w:end w:w="120" w:type="dxa"/>
            </w:tcMar>
          </w:tcPr>
          <w:p>
            <w:pPr>
              <w:spacing w:after="0"/>
            </w:pPr>
            <w:r/>
            <w:r>
              <w:rPr>
                <w:rFonts w:ascii="Calibri" w:hAnsi="Calibri"/>
                <w:b w:val="0"/>
                <w:color w:val="000000"/>
                <w:sz w:val="19"/>
              </w:rPr>
              <w:t>Verify</w:t>
            </w:r>
          </w:p>
        </w:tc>
      </w:tr>
      <w:tr>
        <w:tc>
          <w:tcPr>
            <w:tcW w:type="dxa" w:w="2088"/>
            <w:vAlign w:val="center"/>
            <w:tcMar>
              <w:top w:w="80" w:type="dxa"/>
              <w:start w:w="120" w:type="dxa"/>
              <w:bottom w:w="80" w:type="dxa"/>
              <w:end w:w="120" w:type="dxa"/>
            </w:tcMar>
            <w:shd w:fill="F7F9FB"/>
          </w:tcPr>
          <w:p>
            <w:pPr>
              <w:spacing w:after="0"/>
            </w:pPr>
            <w:r/>
            <w:r>
              <w:rPr>
                <w:rFonts w:ascii="Calibri" w:hAnsi="Calibri"/>
                <w:b w:val="0"/>
                <w:color w:val="000000"/>
                <w:sz w:val="19"/>
              </w:rPr>
              <w:t>Target identity</w:t>
            </w:r>
          </w:p>
        </w:tc>
        <w:tc>
          <w:tcPr>
            <w:tcW w:type="dxa" w:w="2592"/>
            <w:vAlign w:val="center"/>
            <w:tcMar>
              <w:top w:w="80" w:type="dxa"/>
              <w:start w:w="120" w:type="dxa"/>
              <w:bottom w:w="80" w:type="dxa"/>
              <w:end w:w="120" w:type="dxa"/>
            </w:tcMar>
            <w:shd w:fill="F7F9FB"/>
          </w:tcPr>
          <w:p>
            <w:pPr>
              <w:spacing w:after="0"/>
            </w:pPr>
            <w:r/>
            <w:r>
              <w:rPr>
                <w:rFonts w:ascii="Calibri" w:hAnsi="Calibri"/>
                <w:b w:val="0"/>
                <w:color w:val="000000"/>
                <w:sz w:val="19"/>
              </w:rPr>
              <w:t>Web server 10.0.10.20</w:t>
            </w:r>
          </w:p>
        </w:tc>
        <w:tc>
          <w:tcPr>
            <w:tcW w:type="dxa" w:w="3096"/>
            <w:vAlign w:val="center"/>
            <w:tcMar>
              <w:top w:w="80" w:type="dxa"/>
              <w:start w:w="120" w:type="dxa"/>
              <w:bottom w:w="80" w:type="dxa"/>
              <w:end w:w="120" w:type="dxa"/>
            </w:tcMar>
            <w:shd w:fill="F7F9FB"/>
          </w:tcPr>
          <w:p>
            <w:pPr>
              <w:spacing w:after="0"/>
            </w:pPr>
            <w:r/>
            <w:r>
              <w:rPr>
                <w:rFonts w:ascii="Calibri" w:hAnsi="Calibri"/>
                <w:b w:val="0"/>
                <w:color w:val="000000"/>
                <w:sz w:val="19"/>
              </w:rPr>
              <w:t>10.0.10.10</w:t>
            </w:r>
          </w:p>
        </w:tc>
        <w:tc>
          <w:tcPr>
            <w:tcW w:type="dxa" w:w="1584"/>
            <w:vAlign w:val="center"/>
            <w:tcMar>
              <w:top w:w="80" w:type="dxa"/>
              <w:start w:w="120" w:type="dxa"/>
              <w:bottom w:w="80" w:type="dxa"/>
              <w:end w:w="120" w:type="dxa"/>
            </w:tcMar>
            <w:shd w:fill="F7F9FB"/>
          </w:tcPr>
          <w:p>
            <w:pPr>
              <w:spacing w:after="0"/>
            </w:pPr>
            <w:r/>
            <w:r>
              <w:rPr>
                <w:rFonts w:ascii="Calibri" w:hAnsi="Calibri"/>
                <w:b w:val="0"/>
                <w:color w:val="000000"/>
                <w:sz w:val="19"/>
              </w:rPr>
              <w:t>Mismatch</w:t>
            </w:r>
          </w:p>
        </w:tc>
      </w:tr>
      <w:tr>
        <w:tc>
          <w:tcPr>
            <w:tcW w:type="dxa" w:w="2088"/>
            <w:vAlign w:val="center"/>
            <w:tcMar>
              <w:top w:w="80" w:type="dxa"/>
              <w:start w:w="120" w:type="dxa"/>
              <w:bottom w:w="80" w:type="dxa"/>
              <w:end w:w="120" w:type="dxa"/>
            </w:tcMar>
          </w:tcPr>
          <w:p>
            <w:pPr>
              <w:spacing w:after="0"/>
            </w:pPr>
            <w:r/>
            <w:r>
              <w:rPr>
                <w:rFonts w:ascii="Calibri" w:hAnsi="Calibri"/>
                <w:b w:val="0"/>
                <w:color w:val="000000"/>
                <w:sz w:val="19"/>
              </w:rPr>
              <w:t>Network telemetry</w:t>
            </w:r>
          </w:p>
        </w:tc>
        <w:tc>
          <w:tcPr>
            <w:tcW w:type="dxa" w:w="2592"/>
            <w:vAlign w:val="center"/>
            <w:tcMar>
              <w:top w:w="80" w:type="dxa"/>
              <w:start w:w="120" w:type="dxa"/>
              <w:bottom w:w="80" w:type="dxa"/>
              <w:end w:w="120" w:type="dxa"/>
            </w:tcMar>
          </w:tcPr>
          <w:p>
            <w:pPr>
              <w:spacing w:after="0"/>
            </w:pPr>
            <w:r/>
            <w:r>
              <w:rPr>
                <w:rFonts w:ascii="Calibri" w:hAnsi="Calibri"/>
                <w:b w:val="0"/>
                <w:color w:val="000000"/>
                <w:sz w:val="19"/>
              </w:rPr>
              <w:t>Events indexed in Suricata</w:t>
            </w:r>
          </w:p>
        </w:tc>
        <w:tc>
          <w:tcPr>
            <w:tcW w:type="dxa" w:w="3096"/>
            <w:vAlign w:val="center"/>
            <w:tcMar>
              <w:top w:w="80" w:type="dxa"/>
              <w:start w:w="120" w:type="dxa"/>
              <w:bottom w:w="80" w:type="dxa"/>
              <w:end w:w="120" w:type="dxa"/>
            </w:tcMar>
          </w:tcPr>
          <w:p>
            <w:pPr>
              <w:spacing w:after="0"/>
            </w:pPr>
            <w:r/>
            <w:r>
              <w:rPr>
                <w:rFonts w:ascii="Calibri" w:hAnsi="Calibri"/>
                <w:b w:val="0"/>
                <w:color w:val="000000"/>
                <w:sz w:val="19"/>
              </w:rPr>
              <w:t>4 SSH/flow events</w:t>
            </w:r>
          </w:p>
        </w:tc>
        <w:tc>
          <w:tcPr>
            <w:tcW w:type="dxa" w:w="1584"/>
            <w:vAlign w:val="center"/>
            <w:tcMar>
              <w:top w:w="80" w:type="dxa"/>
              <w:start w:w="120" w:type="dxa"/>
              <w:bottom w:w="80" w:type="dxa"/>
              <w:end w:w="120" w:type="dxa"/>
            </w:tcMar>
          </w:tcPr>
          <w:p>
            <w:pPr>
              <w:spacing w:after="0"/>
            </w:pPr>
            <w:r/>
            <w:r>
              <w:rPr>
                <w:rFonts w:ascii="Calibri" w:hAnsi="Calibri"/>
                <w:b w:val="0"/>
                <w:color w:val="000000"/>
                <w:sz w:val="19"/>
              </w:rPr>
              <w:t>Pass</w:t>
            </w:r>
          </w:p>
        </w:tc>
      </w:tr>
      <w:tr>
        <w:tc>
          <w:tcPr>
            <w:tcW w:type="dxa" w:w="2088"/>
            <w:vAlign w:val="center"/>
            <w:tcMar>
              <w:top w:w="80" w:type="dxa"/>
              <w:start w:w="120" w:type="dxa"/>
              <w:bottom w:w="80" w:type="dxa"/>
              <w:end w:w="120" w:type="dxa"/>
            </w:tcMar>
            <w:shd w:fill="F7F9FB"/>
          </w:tcPr>
          <w:p>
            <w:pPr>
              <w:spacing w:after="0"/>
            </w:pPr>
            <w:r/>
            <w:r>
              <w:rPr>
                <w:rFonts w:ascii="Calibri" w:hAnsi="Calibri"/>
                <w:b w:val="0"/>
                <w:color w:val="000000"/>
                <w:sz w:val="19"/>
              </w:rPr>
              <w:t>Detection signature</w:t>
            </w:r>
          </w:p>
        </w:tc>
        <w:tc>
          <w:tcPr>
            <w:tcW w:type="dxa" w:w="2592"/>
            <w:vAlign w:val="center"/>
            <w:tcMar>
              <w:top w:w="80" w:type="dxa"/>
              <w:start w:w="120" w:type="dxa"/>
              <w:bottom w:w="80" w:type="dxa"/>
              <w:end w:w="120" w:type="dxa"/>
            </w:tcMar>
            <w:shd w:fill="F7F9FB"/>
          </w:tcPr>
          <w:p>
            <w:pPr>
              <w:spacing w:after="0"/>
            </w:pPr>
            <w:r/>
            <w:r>
              <w:rPr>
                <w:rFonts w:ascii="Calibri" w:hAnsi="Calibri"/>
                <w:b w:val="0"/>
                <w:color w:val="000000"/>
                <w:sz w:val="19"/>
              </w:rPr>
              <w:t>Recon/scan signature populated</w:t>
            </w:r>
          </w:p>
        </w:tc>
        <w:tc>
          <w:tcPr>
            <w:tcW w:type="dxa" w:w="3096"/>
            <w:vAlign w:val="center"/>
            <w:tcMar>
              <w:top w:w="80" w:type="dxa"/>
              <w:start w:w="120" w:type="dxa"/>
              <w:bottom w:w="80" w:type="dxa"/>
              <w:end w:w="120" w:type="dxa"/>
            </w:tcMar>
            <w:shd w:fill="F7F9FB"/>
          </w:tcPr>
          <w:p>
            <w:pPr>
              <w:spacing w:after="0"/>
            </w:pPr>
            <w:r/>
            <w:r>
              <w:rPr>
                <w:rFonts w:ascii="Calibri" w:hAnsi="Calibri"/>
                <w:b w:val="0"/>
                <w:color w:val="000000"/>
                <w:sz w:val="19"/>
              </w:rPr>
              <w:t>Blank signature field</w:t>
            </w:r>
          </w:p>
        </w:tc>
        <w:tc>
          <w:tcPr>
            <w:tcW w:type="dxa" w:w="1584"/>
            <w:vAlign w:val="center"/>
            <w:tcMar>
              <w:top w:w="80" w:type="dxa"/>
              <w:start w:w="120" w:type="dxa"/>
              <w:bottom w:w="80" w:type="dxa"/>
              <w:end w:w="120" w:type="dxa"/>
            </w:tcMar>
            <w:shd w:fill="F7F9FB"/>
          </w:tcPr>
          <w:p>
            <w:pPr>
              <w:spacing w:after="0"/>
            </w:pPr>
            <w:r/>
            <w:r>
              <w:rPr>
                <w:rFonts w:ascii="Calibri" w:hAnsi="Calibri"/>
                <w:b w:val="0"/>
                <w:color w:val="000000"/>
                <w:sz w:val="19"/>
              </w:rPr>
              <w:t>Fail</w:t>
            </w:r>
          </w:p>
        </w:tc>
      </w:tr>
      <w:tr>
        <w:tc>
          <w:tcPr>
            <w:tcW w:type="dxa" w:w="2088"/>
            <w:vAlign w:val="center"/>
            <w:tcMar>
              <w:top w:w="80" w:type="dxa"/>
              <w:start w:w="120" w:type="dxa"/>
              <w:bottom w:w="80" w:type="dxa"/>
              <w:end w:w="120" w:type="dxa"/>
            </w:tcMar>
          </w:tcPr>
          <w:p>
            <w:pPr>
              <w:spacing w:after="0"/>
            </w:pPr>
            <w:r/>
            <w:r>
              <w:rPr>
                <w:rFonts w:ascii="Calibri" w:hAnsi="Calibri"/>
                <w:b w:val="0"/>
                <w:color w:val="000000"/>
                <w:sz w:val="19"/>
              </w:rPr>
              <w:t>AI triage</w:t>
            </w:r>
          </w:p>
        </w:tc>
        <w:tc>
          <w:tcPr>
            <w:tcW w:type="dxa" w:w="2592"/>
            <w:vAlign w:val="center"/>
            <w:tcMar>
              <w:top w:w="80" w:type="dxa"/>
              <w:start w:w="120" w:type="dxa"/>
              <w:bottom w:w="80" w:type="dxa"/>
              <w:end w:w="120" w:type="dxa"/>
            </w:tcMar>
          </w:tcPr>
          <w:p>
            <w:pPr>
              <w:spacing w:after="0"/>
            </w:pPr>
            <w:r/>
            <w:r>
              <w:rPr>
                <w:rFonts w:ascii="Calibri" w:hAnsi="Calibri"/>
                <w:b w:val="0"/>
                <w:color w:val="000000"/>
                <w:sz w:val="19"/>
              </w:rPr>
              <w:t>Incident with severity and rationale</w:t>
            </w:r>
          </w:p>
        </w:tc>
        <w:tc>
          <w:tcPr>
            <w:tcW w:type="dxa" w:w="3096"/>
            <w:vAlign w:val="center"/>
            <w:tcMar>
              <w:top w:w="80" w:type="dxa"/>
              <w:start w:w="120" w:type="dxa"/>
              <w:bottom w:w="80" w:type="dxa"/>
              <w:end w:w="120" w:type="dxa"/>
            </w:tcMar>
          </w:tcPr>
          <w:p>
            <w:pPr>
              <w:spacing w:after="0"/>
            </w:pPr>
            <w:r/>
            <w:r>
              <w:rPr>
                <w:rFonts w:ascii="Calibri" w:hAnsi="Calibri"/>
                <w:b w:val="0"/>
                <w:color w:val="000000"/>
                <w:sz w:val="19"/>
              </w:rPr>
              <w:t>Not supplied</w:t>
            </w:r>
          </w:p>
        </w:tc>
        <w:tc>
          <w:tcPr>
            <w:tcW w:type="dxa" w:w="1584"/>
            <w:vAlign w:val="center"/>
            <w:tcMar>
              <w:top w:w="80" w:type="dxa"/>
              <w:start w:w="120" w:type="dxa"/>
              <w:bottom w:w="80" w:type="dxa"/>
              <w:end w:w="120" w:type="dxa"/>
            </w:tcMar>
          </w:tcPr>
          <w:p>
            <w:pPr>
              <w:spacing w:after="0"/>
            </w:pPr>
            <w:r/>
            <w:r>
              <w:rPr>
                <w:rFonts w:ascii="Calibri" w:hAnsi="Calibri"/>
                <w:b w:val="0"/>
                <w:color w:val="000000"/>
                <w:sz w:val="19"/>
              </w:rPr>
              <w:t>Not tested</w:t>
            </w:r>
          </w:p>
        </w:tc>
      </w:tr>
      <w:tr>
        <w:tc>
          <w:tcPr>
            <w:tcW w:type="dxa" w:w="2088"/>
            <w:vAlign w:val="center"/>
            <w:tcMar>
              <w:top w:w="80" w:type="dxa"/>
              <w:start w:w="120" w:type="dxa"/>
              <w:bottom w:w="80" w:type="dxa"/>
              <w:end w:w="120" w:type="dxa"/>
            </w:tcMar>
            <w:shd w:fill="F7F9FB"/>
          </w:tcPr>
          <w:p>
            <w:pPr>
              <w:spacing w:after="0"/>
            </w:pPr>
            <w:r/>
            <w:r>
              <w:rPr>
                <w:rFonts w:ascii="Calibri" w:hAnsi="Calibri"/>
                <w:b w:val="0"/>
                <w:color w:val="000000"/>
                <w:sz w:val="19"/>
              </w:rPr>
              <w:t>MITRE mapping</w:t>
            </w:r>
          </w:p>
        </w:tc>
        <w:tc>
          <w:tcPr>
            <w:tcW w:type="dxa" w:w="2592"/>
            <w:vAlign w:val="center"/>
            <w:tcMar>
              <w:top w:w="80" w:type="dxa"/>
              <w:start w:w="120" w:type="dxa"/>
              <w:bottom w:w="80" w:type="dxa"/>
              <w:end w:w="120" w:type="dxa"/>
            </w:tcMar>
            <w:shd w:fill="F7F9FB"/>
          </w:tcPr>
          <w:p>
            <w:pPr>
              <w:spacing w:after="0"/>
            </w:pPr>
            <w:r/>
            <w:r>
              <w:rPr>
                <w:rFonts w:ascii="Calibri" w:hAnsi="Calibri"/>
                <w:b w:val="0"/>
                <w:color w:val="000000"/>
                <w:sz w:val="19"/>
              </w:rPr>
              <w:t>T1046 after detection validation</w:t>
            </w:r>
          </w:p>
        </w:tc>
        <w:tc>
          <w:tcPr>
            <w:tcW w:type="dxa" w:w="3096"/>
            <w:vAlign w:val="center"/>
            <w:tcMar>
              <w:top w:w="80" w:type="dxa"/>
              <w:start w:w="120" w:type="dxa"/>
              <w:bottom w:w="80" w:type="dxa"/>
              <w:end w:w="120" w:type="dxa"/>
            </w:tcMar>
            <w:shd w:fill="F7F9FB"/>
          </w:tcPr>
          <w:p>
            <w:pPr>
              <w:spacing w:after="0"/>
            </w:pPr>
            <w:r/>
            <w:r>
              <w:rPr>
                <w:rFonts w:ascii="Calibri" w:hAnsi="Calibri"/>
                <w:b w:val="0"/>
                <w:color w:val="000000"/>
                <w:sz w:val="19"/>
              </w:rPr>
              <w:t>Insufficient evidence</w:t>
            </w:r>
          </w:p>
        </w:tc>
        <w:tc>
          <w:tcPr>
            <w:tcW w:type="dxa" w:w="1584"/>
            <w:vAlign w:val="center"/>
            <w:tcMar>
              <w:top w:w="80" w:type="dxa"/>
              <w:start w:w="120" w:type="dxa"/>
              <w:bottom w:w="80" w:type="dxa"/>
              <w:end w:w="120" w:type="dxa"/>
            </w:tcMar>
            <w:shd w:fill="F7F9FB"/>
          </w:tcPr>
          <w:p>
            <w:pPr>
              <w:spacing w:after="0"/>
            </w:pPr>
            <w:r/>
            <w:r>
              <w:rPr>
                <w:rFonts w:ascii="Calibri" w:hAnsi="Calibri"/>
                <w:b w:val="0"/>
                <w:color w:val="000000"/>
                <w:sz w:val="19"/>
              </w:rPr>
              <w:t>Not assigned</w:t>
            </w:r>
          </w:p>
        </w:tc>
      </w:tr>
    </w:tbl>
    <w:p>
      <w:pPr>
        <w:pStyle w:val="Heading1"/>
      </w:pPr>
      <w:r>
        <w:t>4. Evidence and timeline</w:t>
      </w:r>
    </w:p>
    <w:p>
      <w:r>
        <w:t>Evidence source: Splunk Enterprise search over index=suricata, earliest=-15m. Screenshot captured 25 August 2026. The query filtered for 10.0.10.40 and displayed time, host, source/destination IP, destination port, event type and signature.</w:t>
      </w:r>
    </w:p>
    <w:tbl>
      <w:tblPr>
        <w:tblW w:type="auto" w:w="0"/>
        <w:jc w:val="center"/>
        <w:tblLayout w:type="fixed"/>
        <w:tblLook w:firstColumn="1" w:firstRow="1" w:lastColumn="0" w:lastRow="0" w:noHBand="0" w:noVBand="1" w:val="04A0"/>
      </w:tblPr>
      <w:tblGrid>
        <w:gridCol w:w="1800"/>
        <w:gridCol w:w="2088"/>
        <w:gridCol w:w="1440"/>
        <w:gridCol w:w="4032"/>
      </w:tblGrid>
      <w:tr>
        <w:trPr>
          <w:tblHeader/>
        </w:trPr>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Time (IST)</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Reporting host</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Event</w:t>
            </w:r>
          </w:p>
        </w:tc>
        <w:tc>
          <w:tcPr>
            <w:tcW w:type="dxa" w:w="2340"/>
            <w:vAlign w:val="center"/>
            <w:tcMar>
              <w:top w:w="80" w:type="dxa"/>
              <w:start w:w="120" w:type="dxa"/>
              <w:bottom w:w="80" w:type="dxa"/>
              <w:end w:w="120" w:type="dxa"/>
            </w:tcMar>
            <w:shd w:fill="17365D"/>
          </w:tcPr>
          <w:p>
            <w:pPr>
              <w:spacing w:after="0"/>
            </w:pPr>
            <w:r/>
            <w:r>
              <w:rPr>
                <w:rFonts w:ascii="Calibri" w:hAnsi="Calibri"/>
                <w:b/>
                <w:color w:val="FFFFFF"/>
                <w:sz w:val="19"/>
              </w:rPr>
              <w:t>Source → destination</w:t>
            </w:r>
          </w:p>
        </w:tc>
      </w:tr>
      <w:tr>
        <w:tc>
          <w:tcPr>
            <w:tcW w:type="dxa" w:w="1800"/>
            <w:vAlign w:val="center"/>
            <w:tcMar>
              <w:top w:w="80" w:type="dxa"/>
              <w:start w:w="120" w:type="dxa"/>
              <w:bottom w:w="80" w:type="dxa"/>
              <w:end w:w="120" w:type="dxa"/>
            </w:tcMar>
          </w:tcPr>
          <w:p>
            <w:pPr>
              <w:spacing w:after="0"/>
            </w:pPr>
            <w:r/>
            <w:r>
              <w:rPr>
                <w:rFonts w:ascii="Calibri" w:hAnsi="Calibri"/>
                <w:b w:val="0"/>
                <w:color w:val="000000"/>
                <w:sz w:val="19"/>
              </w:rPr>
              <w:t>01:12:39.758</w:t>
            </w:r>
          </w:p>
        </w:tc>
        <w:tc>
          <w:tcPr>
            <w:tcW w:type="dxa" w:w="2088"/>
            <w:vAlign w:val="center"/>
            <w:tcMar>
              <w:top w:w="80" w:type="dxa"/>
              <w:start w:w="120" w:type="dxa"/>
              <w:bottom w:w="80" w:type="dxa"/>
              <w:end w:w="120" w:type="dxa"/>
            </w:tcMar>
          </w:tcPr>
          <w:p>
            <w:pPr>
              <w:spacing w:after="0"/>
            </w:pPr>
            <w:r/>
            <w:r>
              <w:rPr>
                <w:rFonts w:ascii="Calibri" w:hAnsi="Calibri"/>
                <w:b w:val="0"/>
                <w:color w:val="000000"/>
                <w:sz w:val="19"/>
              </w:rPr>
              <w:t>web-server</w:t>
            </w:r>
          </w:p>
        </w:tc>
        <w:tc>
          <w:tcPr>
            <w:tcW w:type="dxa" w:w="1440"/>
            <w:vAlign w:val="center"/>
            <w:tcMar>
              <w:top w:w="80" w:type="dxa"/>
              <w:start w:w="120" w:type="dxa"/>
              <w:bottom w:w="80" w:type="dxa"/>
              <w:end w:w="120" w:type="dxa"/>
            </w:tcMar>
          </w:tcPr>
          <w:p>
            <w:pPr>
              <w:spacing w:after="0"/>
            </w:pPr>
            <w:r/>
            <w:r>
              <w:rPr>
                <w:rFonts w:ascii="Calibri" w:hAnsi="Calibri"/>
                <w:b w:val="0"/>
                <w:color w:val="000000"/>
                <w:sz w:val="19"/>
              </w:rPr>
              <w:t>ssh</w:t>
            </w:r>
          </w:p>
        </w:tc>
        <w:tc>
          <w:tcPr>
            <w:tcW w:type="dxa" w:w="4032"/>
            <w:vAlign w:val="center"/>
            <w:tcMar>
              <w:top w:w="80" w:type="dxa"/>
              <w:start w:w="120" w:type="dxa"/>
              <w:bottom w:w="80" w:type="dxa"/>
              <w:end w:w="120" w:type="dxa"/>
            </w:tcMar>
          </w:tcPr>
          <w:p>
            <w:pPr>
              <w:spacing w:after="0"/>
            </w:pPr>
            <w:r/>
            <w:r>
              <w:rPr>
                <w:rFonts w:ascii="Calibri" w:hAnsi="Calibri"/>
                <w:b w:val="0"/>
                <w:color w:val="000000"/>
                <w:sz w:val="19"/>
              </w:rPr>
              <w:t>10.0.10.40 → 10.0.10.10:22</w:t>
            </w:r>
          </w:p>
        </w:tc>
      </w:tr>
      <w:tr>
        <w:tc>
          <w:tcPr>
            <w:tcW w:type="dxa" w:w="1800"/>
            <w:vAlign w:val="center"/>
            <w:tcMar>
              <w:top w:w="80" w:type="dxa"/>
              <w:start w:w="120" w:type="dxa"/>
              <w:bottom w:w="80" w:type="dxa"/>
              <w:end w:w="120" w:type="dxa"/>
            </w:tcMar>
            <w:shd w:fill="F7F9FB"/>
          </w:tcPr>
          <w:p>
            <w:pPr>
              <w:spacing w:after="0"/>
            </w:pPr>
            <w:r/>
            <w:r>
              <w:rPr>
                <w:rFonts w:ascii="Calibri" w:hAnsi="Calibri"/>
                <w:b w:val="0"/>
                <w:color w:val="000000"/>
                <w:sz w:val="19"/>
              </w:rPr>
              <w:t>01:12:44.237</w:t>
            </w:r>
          </w:p>
        </w:tc>
        <w:tc>
          <w:tcPr>
            <w:tcW w:type="dxa" w:w="2088"/>
            <w:vAlign w:val="center"/>
            <w:tcMar>
              <w:top w:w="80" w:type="dxa"/>
              <w:start w:w="120" w:type="dxa"/>
              <w:bottom w:w="80" w:type="dxa"/>
              <w:end w:w="120" w:type="dxa"/>
            </w:tcMar>
            <w:shd w:fill="F7F9FB"/>
          </w:tcPr>
          <w:p>
            <w:pPr>
              <w:spacing w:after="0"/>
            </w:pPr>
            <w:r/>
            <w:r>
              <w:rPr>
                <w:rFonts w:ascii="Calibri" w:hAnsi="Calibri"/>
                <w:b w:val="0"/>
                <w:color w:val="000000"/>
                <w:sz w:val="19"/>
              </w:rPr>
              <w:t>windows-endpoint</w:t>
            </w:r>
          </w:p>
        </w:tc>
        <w:tc>
          <w:tcPr>
            <w:tcW w:type="dxa" w:w="1440"/>
            <w:vAlign w:val="center"/>
            <w:tcMar>
              <w:top w:w="80" w:type="dxa"/>
              <w:start w:w="120" w:type="dxa"/>
              <w:bottom w:w="80" w:type="dxa"/>
              <w:end w:w="120" w:type="dxa"/>
            </w:tcMar>
            <w:shd w:fill="F7F9FB"/>
          </w:tcPr>
          <w:p>
            <w:pPr>
              <w:spacing w:after="0"/>
            </w:pPr>
            <w:r/>
            <w:r>
              <w:rPr>
                <w:rFonts w:ascii="Calibri" w:hAnsi="Calibri"/>
                <w:b w:val="0"/>
                <w:color w:val="000000"/>
                <w:sz w:val="19"/>
              </w:rPr>
              <w:t>flow</w:t>
            </w:r>
          </w:p>
        </w:tc>
        <w:tc>
          <w:tcPr>
            <w:tcW w:type="dxa" w:w="4032"/>
            <w:vAlign w:val="center"/>
            <w:tcMar>
              <w:top w:w="80" w:type="dxa"/>
              <w:start w:w="120" w:type="dxa"/>
              <w:bottom w:w="80" w:type="dxa"/>
              <w:end w:w="120" w:type="dxa"/>
            </w:tcMar>
            <w:shd w:fill="F7F9FB"/>
          </w:tcPr>
          <w:p>
            <w:pPr>
              <w:spacing w:after="0"/>
            </w:pPr>
            <w:r/>
            <w:r>
              <w:rPr>
                <w:rFonts w:ascii="Calibri" w:hAnsi="Calibri"/>
                <w:b w:val="0"/>
                <w:color w:val="000000"/>
                <w:sz w:val="19"/>
              </w:rPr>
              <w:t>10.0.10.40 → 10.0.10.10:22</w:t>
            </w:r>
          </w:p>
        </w:tc>
      </w:tr>
      <w:tr>
        <w:tc>
          <w:tcPr>
            <w:tcW w:type="dxa" w:w="1800"/>
            <w:vAlign w:val="center"/>
            <w:tcMar>
              <w:top w:w="80" w:type="dxa"/>
              <w:start w:w="120" w:type="dxa"/>
              <w:bottom w:w="80" w:type="dxa"/>
              <w:end w:w="120" w:type="dxa"/>
            </w:tcMar>
          </w:tcPr>
          <w:p>
            <w:pPr>
              <w:spacing w:after="0"/>
            </w:pPr>
            <w:r/>
            <w:r>
              <w:rPr>
                <w:rFonts w:ascii="Calibri" w:hAnsi="Calibri"/>
                <w:b w:val="0"/>
                <w:color w:val="000000"/>
                <w:sz w:val="19"/>
              </w:rPr>
              <w:t>01:12:54.238</w:t>
            </w:r>
          </w:p>
        </w:tc>
        <w:tc>
          <w:tcPr>
            <w:tcW w:type="dxa" w:w="2088"/>
            <w:vAlign w:val="center"/>
            <w:tcMar>
              <w:top w:w="80" w:type="dxa"/>
              <w:start w:w="120" w:type="dxa"/>
              <w:bottom w:w="80" w:type="dxa"/>
              <w:end w:w="120" w:type="dxa"/>
            </w:tcMar>
          </w:tcPr>
          <w:p>
            <w:pPr>
              <w:spacing w:after="0"/>
            </w:pPr>
            <w:r/>
            <w:r>
              <w:rPr>
                <w:rFonts w:ascii="Calibri" w:hAnsi="Calibri"/>
                <w:b w:val="0"/>
                <w:color w:val="000000"/>
                <w:sz w:val="19"/>
              </w:rPr>
              <w:t>windows-endpoint</w:t>
            </w:r>
          </w:p>
        </w:tc>
        <w:tc>
          <w:tcPr>
            <w:tcW w:type="dxa" w:w="1440"/>
            <w:vAlign w:val="center"/>
            <w:tcMar>
              <w:top w:w="80" w:type="dxa"/>
              <w:start w:w="120" w:type="dxa"/>
              <w:bottom w:w="80" w:type="dxa"/>
              <w:end w:w="120" w:type="dxa"/>
            </w:tcMar>
          </w:tcPr>
          <w:p>
            <w:pPr>
              <w:spacing w:after="0"/>
            </w:pPr>
            <w:r/>
            <w:r>
              <w:rPr>
                <w:rFonts w:ascii="Calibri" w:hAnsi="Calibri"/>
                <w:b w:val="0"/>
                <w:color w:val="000000"/>
                <w:sz w:val="19"/>
              </w:rPr>
              <w:t>flow</w:t>
            </w:r>
          </w:p>
        </w:tc>
        <w:tc>
          <w:tcPr>
            <w:tcW w:type="dxa" w:w="4032"/>
            <w:vAlign w:val="center"/>
            <w:tcMar>
              <w:top w:w="80" w:type="dxa"/>
              <w:start w:w="120" w:type="dxa"/>
              <w:bottom w:w="80" w:type="dxa"/>
              <w:end w:w="120" w:type="dxa"/>
            </w:tcMar>
          </w:tcPr>
          <w:p>
            <w:pPr>
              <w:spacing w:after="0"/>
            </w:pPr>
            <w:r/>
            <w:r>
              <w:rPr>
                <w:rFonts w:ascii="Calibri" w:hAnsi="Calibri"/>
                <w:b w:val="0"/>
                <w:color w:val="000000"/>
                <w:sz w:val="19"/>
              </w:rPr>
              <w:t>10.0.10.40 → 10.0.10.10:22</w:t>
            </w:r>
          </w:p>
        </w:tc>
      </w:tr>
      <w:tr>
        <w:tc>
          <w:tcPr>
            <w:tcW w:type="dxa" w:w="1800"/>
            <w:vAlign w:val="center"/>
            <w:tcMar>
              <w:top w:w="80" w:type="dxa"/>
              <w:start w:w="120" w:type="dxa"/>
              <w:bottom w:w="80" w:type="dxa"/>
              <w:end w:w="120" w:type="dxa"/>
            </w:tcMar>
            <w:shd w:fill="F7F9FB"/>
          </w:tcPr>
          <w:p>
            <w:pPr>
              <w:spacing w:after="0"/>
            </w:pPr>
            <w:r/>
            <w:r>
              <w:rPr>
                <w:rFonts w:ascii="Calibri" w:hAnsi="Calibri"/>
                <w:b w:val="0"/>
                <w:color w:val="000000"/>
                <w:sz w:val="19"/>
              </w:rPr>
              <w:t>01:13:57.431</w:t>
            </w:r>
          </w:p>
        </w:tc>
        <w:tc>
          <w:tcPr>
            <w:tcW w:type="dxa" w:w="2088"/>
            <w:vAlign w:val="center"/>
            <w:tcMar>
              <w:top w:w="80" w:type="dxa"/>
              <w:start w:w="120" w:type="dxa"/>
              <w:bottom w:w="80" w:type="dxa"/>
              <w:end w:w="120" w:type="dxa"/>
            </w:tcMar>
            <w:shd w:fill="F7F9FB"/>
          </w:tcPr>
          <w:p>
            <w:pPr>
              <w:spacing w:after="0"/>
            </w:pPr>
            <w:r/>
            <w:r>
              <w:rPr>
                <w:rFonts w:ascii="Calibri" w:hAnsi="Calibri"/>
                <w:b w:val="0"/>
                <w:color w:val="000000"/>
                <w:sz w:val="19"/>
              </w:rPr>
              <w:t>web-server</w:t>
            </w:r>
          </w:p>
        </w:tc>
        <w:tc>
          <w:tcPr>
            <w:tcW w:type="dxa" w:w="1440"/>
            <w:vAlign w:val="center"/>
            <w:tcMar>
              <w:top w:w="80" w:type="dxa"/>
              <w:start w:w="120" w:type="dxa"/>
              <w:bottom w:w="80" w:type="dxa"/>
              <w:end w:w="120" w:type="dxa"/>
            </w:tcMar>
            <w:shd w:fill="F7F9FB"/>
          </w:tcPr>
          <w:p>
            <w:pPr>
              <w:spacing w:after="0"/>
            </w:pPr>
            <w:r/>
            <w:r>
              <w:rPr>
                <w:rFonts w:ascii="Calibri" w:hAnsi="Calibri"/>
                <w:b w:val="0"/>
                <w:color w:val="000000"/>
                <w:sz w:val="19"/>
              </w:rPr>
              <w:t>flow</w:t>
            </w:r>
          </w:p>
        </w:tc>
        <w:tc>
          <w:tcPr>
            <w:tcW w:type="dxa" w:w="4032"/>
            <w:vAlign w:val="center"/>
            <w:tcMar>
              <w:top w:w="80" w:type="dxa"/>
              <w:start w:w="120" w:type="dxa"/>
              <w:bottom w:w="80" w:type="dxa"/>
              <w:end w:w="120" w:type="dxa"/>
            </w:tcMar>
            <w:shd w:fill="F7F9FB"/>
          </w:tcPr>
          <w:p>
            <w:pPr>
              <w:spacing w:after="0"/>
            </w:pPr>
            <w:r/>
            <w:r>
              <w:rPr>
                <w:rFonts w:ascii="Calibri" w:hAnsi="Calibri"/>
                <w:b w:val="0"/>
                <w:color w:val="000000"/>
                <w:sz w:val="19"/>
              </w:rPr>
              <w:t>10.0.10.40 → 10.0.10.10:22</w:t>
            </w:r>
          </w:p>
        </w:tc>
      </w:tr>
    </w:tbl>
    <w:p>
      <w:pPr>
        <w:spacing w:before="160" w:after="60"/>
        <w:jc w:val="center"/>
      </w:pPr>
      <w:r>
        <w:drawing>
          <wp:inline xmlns:a="http://schemas.openxmlformats.org/drawingml/2006/main" xmlns:pic="http://schemas.openxmlformats.org/drawingml/2006/picture">
            <wp:extent cx="5897880" cy="3681479"/>
            <wp:docPr id="1" name="Picture 1"/>
            <wp:cNvGraphicFramePr>
              <a:graphicFrameLocks noChangeAspect="1"/>
            </wp:cNvGraphicFramePr>
            <a:graphic>
              <a:graphicData uri="http://schemas.openxmlformats.org/drawingml/2006/picture">
                <pic:pic>
                  <pic:nvPicPr>
                    <pic:cNvPr id="0" name="Screenshot 2026-08-25 012111.png"/>
                    <pic:cNvPicPr/>
                  </pic:nvPicPr>
                  <pic:blipFill>
                    <a:blip r:embed="rId11"/>
                    <a:stretch>
                      <a:fillRect/>
                    </a:stretch>
                  </pic:blipFill>
                  <pic:spPr>
                    <a:xfrm>
                      <a:off x="0" y="0"/>
                      <a:ext cx="5897880" cy="3681479"/>
                    </a:xfrm>
                    <a:prstGeom prst="rect"/>
                  </pic:spPr>
                </pic:pic>
              </a:graphicData>
            </a:graphic>
          </wp:inline>
        </w:drawing>
      </w:r>
    </w:p>
    <w:p>
      <w:pPr>
        <w:pStyle w:val="Caption"/>
        <w:jc w:val="center"/>
      </w:pPr>
      <w:r>
        <w:t>Figure 1. Splunk evidence showing four Suricata SSH/flow events; signature field is blank.</w:t>
      </w:r>
    </w:p>
    <w:p>
      <w:pPr>
        <w:pStyle w:val="Heading1"/>
      </w:pPr>
      <w:r>
        <w:t>5. Detection analysis</w:t>
      </w:r>
    </w:p>
    <w:p>
      <w:r>
        <w:t>The search demonstrates data visibility but not a triggered IDS analytic. Suricata event_type values of ssh and flow are protocol/connection records. A populated alert.signature or a separate Splunk correlation result is required before claiming a scan detection.</w:t>
      </w:r>
    </w:p>
    <w:p>
      <w:pPr>
        <w:pStyle w:val="Heading2"/>
      </w:pPr>
      <w:r>
        <w:t>Analyst assessment</w:t>
      </w:r>
    </w:p>
    <w:p>
      <w:pPr>
        <w:pStyle w:val="ListBullet"/>
      </w:pPr>
      <w:r>
        <w:t>True-positive status: Undetermined; the activity may be authorized administration or test traffic.</w:t>
      </w:r>
    </w:p>
    <w:p>
      <w:pPr>
        <w:pStyle w:val="ListBullet"/>
      </w:pPr>
      <w:r>
        <w:t>Severity: Informational until scan behavior or an IDS/correlation alert is established.</w:t>
      </w:r>
    </w:p>
    <w:p>
      <w:pPr>
        <w:pStyle w:val="ListBullet"/>
      </w:pPr>
      <w:r>
        <w:t>MITRE ATT&amp;CK: T1046 Network Service Discovery is a candidate only after scan behavior is verified.</w:t>
      </w:r>
    </w:p>
    <w:p>
      <w:pPr>
        <w:pStyle w:val="ListBullet"/>
      </w:pPr>
      <w:r>
        <w:t>Containment: Not recommended from this evidence alone.</w:t>
      </w:r>
    </w:p>
    <w:p>
      <w:pPr>
        <w:pStyle w:val="ListBullet"/>
      </w:pPr>
      <w:r>
        <w:t>Data-quality issue: Test source and target differ from the documented Kali-to-web-server scenario.</w:t>
      </w:r>
    </w:p>
    <w:p>
      <w:pPr>
        <w:pStyle w:val="Heading1"/>
      </w:pPr>
      <w:r>
        <w:t>6. Corrective actions and retest</w:t>
      </w:r>
    </w:p>
    <w:tbl>
      <w:tblPr>
        <w:tblW w:type="auto" w:w="0"/>
        <w:jc w:val="center"/>
        <w:tblLayout w:type="fixed"/>
        <w:tblLook w:firstColumn="1" w:firstRow="1" w:lastColumn="0" w:lastRow="0" w:noHBand="0" w:noVBand="1" w:val="04A0"/>
      </w:tblPr>
      <w:tblGrid>
        <w:gridCol w:w="1008"/>
        <w:gridCol w:w="4824"/>
        <w:gridCol w:w="3528"/>
      </w:tblGrid>
      <w:tr>
        <w:trPr>
          <w:tblHeader/>
        </w:trPr>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Priority</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Action</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Acceptance criterion</w:t>
            </w:r>
          </w:p>
        </w:tc>
      </w:tr>
      <w:tr>
        <w:tc>
          <w:tcPr>
            <w:tcW w:type="dxa" w:w="1008"/>
            <w:vAlign w:val="center"/>
            <w:tcMar>
              <w:top w:w="80" w:type="dxa"/>
              <w:start w:w="120" w:type="dxa"/>
              <w:bottom w:w="80" w:type="dxa"/>
              <w:end w:w="120" w:type="dxa"/>
            </w:tcMar>
          </w:tcPr>
          <w:p>
            <w:pPr>
              <w:spacing w:after="0"/>
            </w:pPr>
            <w:r/>
            <w:r>
              <w:rPr>
                <w:rFonts w:ascii="Calibri" w:hAnsi="Calibri"/>
                <w:b w:val="0"/>
                <w:color w:val="000000"/>
                <w:sz w:val="19"/>
              </w:rPr>
              <w:t>P1</w:t>
            </w:r>
          </w:p>
        </w:tc>
        <w:tc>
          <w:tcPr>
            <w:tcW w:type="dxa" w:w="4824"/>
            <w:vAlign w:val="center"/>
            <w:tcMar>
              <w:top w:w="80" w:type="dxa"/>
              <w:start w:w="120" w:type="dxa"/>
              <w:bottom w:w="80" w:type="dxa"/>
              <w:end w:w="120" w:type="dxa"/>
            </w:tcMar>
          </w:tcPr>
          <w:p>
            <w:pPr>
              <w:spacing w:after="0"/>
            </w:pPr>
            <w:r/>
            <w:r>
              <w:rPr>
                <w:rFonts w:ascii="Calibri" w:hAnsi="Calibri"/>
                <w:b w:val="0"/>
                <w:color w:val="000000"/>
                <w:sz w:val="19"/>
              </w:rPr>
              <w:t>Confirm current IPs with ip -br address / ipconfig and update the test plan.</w:t>
            </w:r>
          </w:p>
        </w:tc>
        <w:tc>
          <w:tcPr>
            <w:tcW w:type="dxa" w:w="3528"/>
            <w:vAlign w:val="center"/>
            <w:tcMar>
              <w:top w:w="80" w:type="dxa"/>
              <w:start w:w="120" w:type="dxa"/>
              <w:bottom w:w="80" w:type="dxa"/>
              <w:end w:w="120" w:type="dxa"/>
            </w:tcMar>
          </w:tcPr>
          <w:p>
            <w:pPr>
              <w:spacing w:after="0"/>
            </w:pPr>
            <w:r/>
            <w:r>
              <w:rPr>
                <w:rFonts w:ascii="Calibri" w:hAnsi="Calibri"/>
                <w:b w:val="0"/>
                <w:color w:val="000000"/>
                <w:sz w:val="19"/>
              </w:rPr>
              <w:t>Recorded source and target match executed command.</w:t>
            </w:r>
          </w:p>
        </w:tc>
      </w:tr>
      <w:tr>
        <w:tc>
          <w:tcPr>
            <w:tcW w:type="dxa" w:w="1008"/>
            <w:vAlign w:val="center"/>
            <w:tcMar>
              <w:top w:w="80" w:type="dxa"/>
              <w:start w:w="120" w:type="dxa"/>
              <w:bottom w:w="80" w:type="dxa"/>
              <w:end w:w="120" w:type="dxa"/>
            </w:tcMar>
            <w:shd w:fill="F7F9FB"/>
          </w:tcPr>
          <w:p>
            <w:pPr>
              <w:spacing w:after="0"/>
            </w:pPr>
            <w:r/>
            <w:r>
              <w:rPr>
                <w:rFonts w:ascii="Calibri" w:hAnsi="Calibri"/>
                <w:b w:val="0"/>
                <w:color w:val="000000"/>
                <w:sz w:val="19"/>
              </w:rPr>
              <w:t>P1</w:t>
            </w:r>
          </w:p>
        </w:tc>
        <w:tc>
          <w:tcPr>
            <w:tcW w:type="dxa" w:w="4824"/>
            <w:vAlign w:val="center"/>
            <w:tcMar>
              <w:top w:w="80" w:type="dxa"/>
              <w:start w:w="120" w:type="dxa"/>
              <w:bottom w:w="80" w:type="dxa"/>
              <w:end w:w="120" w:type="dxa"/>
            </w:tcMar>
            <w:shd w:fill="F7F9FB"/>
          </w:tcPr>
          <w:p>
            <w:pPr>
              <w:spacing w:after="0"/>
            </w:pPr>
            <w:r/>
            <w:r>
              <w:rPr>
                <w:rFonts w:ascii="Calibri" w:hAnsi="Calibri"/>
                <w:b w:val="0"/>
                <w:color w:val="000000"/>
                <w:sz w:val="19"/>
              </w:rPr>
              <w:t>Run a bounded scan from the authorized Kali host to 10.0.10.20.</w:t>
            </w:r>
          </w:p>
        </w:tc>
        <w:tc>
          <w:tcPr>
            <w:tcW w:type="dxa" w:w="3528"/>
            <w:vAlign w:val="center"/>
            <w:tcMar>
              <w:top w:w="80" w:type="dxa"/>
              <w:start w:w="120" w:type="dxa"/>
              <w:bottom w:w="80" w:type="dxa"/>
              <w:end w:w="120" w:type="dxa"/>
            </w:tcMar>
            <w:shd w:fill="F7F9FB"/>
          </w:tcPr>
          <w:p>
            <w:pPr>
              <w:spacing w:after="0"/>
            </w:pPr>
            <w:r/>
            <w:r>
              <w:rPr>
                <w:rFonts w:ascii="Calibri" w:hAnsi="Calibri"/>
                <w:b w:val="0"/>
                <w:color w:val="000000"/>
                <w:sz w:val="19"/>
              </w:rPr>
              <w:t>Command, start time and end time captured.</w:t>
            </w:r>
          </w:p>
        </w:tc>
      </w:tr>
      <w:tr>
        <w:tc>
          <w:tcPr>
            <w:tcW w:type="dxa" w:w="1008"/>
            <w:vAlign w:val="center"/>
            <w:tcMar>
              <w:top w:w="80" w:type="dxa"/>
              <w:start w:w="120" w:type="dxa"/>
              <w:bottom w:w="80" w:type="dxa"/>
              <w:end w:w="120" w:type="dxa"/>
            </w:tcMar>
          </w:tcPr>
          <w:p>
            <w:pPr>
              <w:spacing w:after="0"/>
            </w:pPr>
            <w:r/>
            <w:r>
              <w:rPr>
                <w:rFonts w:ascii="Calibri" w:hAnsi="Calibri"/>
                <w:b w:val="0"/>
                <w:color w:val="000000"/>
                <w:sz w:val="19"/>
              </w:rPr>
              <w:t>P1</w:t>
            </w:r>
          </w:p>
        </w:tc>
        <w:tc>
          <w:tcPr>
            <w:tcW w:type="dxa" w:w="4824"/>
            <w:vAlign w:val="center"/>
            <w:tcMar>
              <w:top w:w="80" w:type="dxa"/>
              <w:start w:w="120" w:type="dxa"/>
              <w:bottom w:w="80" w:type="dxa"/>
              <w:end w:w="120" w:type="dxa"/>
            </w:tcMar>
          </w:tcPr>
          <w:p>
            <w:pPr>
              <w:spacing w:after="0"/>
            </w:pPr>
            <w:r/>
            <w:r>
              <w:rPr>
                <w:rFonts w:ascii="Calibri" w:hAnsi="Calibri"/>
                <w:b w:val="0"/>
                <w:color w:val="000000"/>
                <w:sz w:val="19"/>
              </w:rPr>
              <w:t>Search event_type=alert and inspect alert.signature.</w:t>
            </w:r>
          </w:p>
        </w:tc>
        <w:tc>
          <w:tcPr>
            <w:tcW w:type="dxa" w:w="3528"/>
            <w:vAlign w:val="center"/>
            <w:tcMar>
              <w:top w:w="80" w:type="dxa"/>
              <w:start w:w="120" w:type="dxa"/>
              <w:bottom w:w="80" w:type="dxa"/>
              <w:end w:w="120" w:type="dxa"/>
            </w:tcMar>
          </w:tcPr>
          <w:p>
            <w:pPr>
              <w:spacing w:after="0"/>
            </w:pPr>
            <w:r/>
            <w:r>
              <w:rPr>
                <w:rFonts w:ascii="Calibri" w:hAnsi="Calibri"/>
                <w:b w:val="0"/>
                <w:color w:val="000000"/>
                <w:sz w:val="19"/>
              </w:rPr>
              <w:t>Recon/scan signature or approved correlation alert present.</w:t>
            </w:r>
          </w:p>
        </w:tc>
      </w:tr>
      <w:tr>
        <w:tc>
          <w:tcPr>
            <w:tcW w:type="dxa" w:w="1008"/>
            <w:vAlign w:val="center"/>
            <w:tcMar>
              <w:top w:w="80" w:type="dxa"/>
              <w:start w:w="120" w:type="dxa"/>
              <w:bottom w:w="80" w:type="dxa"/>
              <w:end w:w="120" w:type="dxa"/>
            </w:tcMar>
            <w:shd w:fill="F7F9FB"/>
          </w:tcPr>
          <w:p>
            <w:pPr>
              <w:spacing w:after="0"/>
            </w:pPr>
            <w:r/>
            <w:r>
              <w:rPr>
                <w:rFonts w:ascii="Calibri" w:hAnsi="Calibri"/>
                <w:b w:val="0"/>
                <w:color w:val="000000"/>
                <w:sz w:val="19"/>
              </w:rPr>
              <w:t>P2</w:t>
            </w:r>
          </w:p>
        </w:tc>
        <w:tc>
          <w:tcPr>
            <w:tcW w:type="dxa" w:w="4824"/>
            <w:vAlign w:val="center"/>
            <w:tcMar>
              <w:top w:w="80" w:type="dxa"/>
              <w:start w:w="120" w:type="dxa"/>
              <w:bottom w:w="80" w:type="dxa"/>
              <w:end w:w="120" w:type="dxa"/>
            </w:tcMar>
            <w:shd w:fill="F7F9FB"/>
          </w:tcPr>
          <w:p>
            <w:pPr>
              <w:spacing w:after="0"/>
            </w:pPr>
            <w:r/>
            <w:r>
              <w:rPr>
                <w:rFonts w:ascii="Calibri" w:hAnsi="Calibri"/>
                <w:b w:val="0"/>
                <w:color w:val="000000"/>
                <w:sz w:val="19"/>
              </w:rPr>
              <w:t>Run the AI pipeline and capture incident details.</w:t>
            </w:r>
          </w:p>
        </w:tc>
        <w:tc>
          <w:tcPr>
            <w:tcW w:type="dxa" w:w="3528"/>
            <w:vAlign w:val="center"/>
            <w:tcMar>
              <w:top w:w="80" w:type="dxa"/>
              <w:start w:w="120" w:type="dxa"/>
              <w:bottom w:w="80" w:type="dxa"/>
              <w:end w:w="120" w:type="dxa"/>
            </w:tcMar>
            <w:shd w:fill="F7F9FB"/>
          </w:tcPr>
          <w:p>
            <w:pPr>
              <w:spacing w:after="0"/>
            </w:pPr>
            <w:r/>
            <w:r>
              <w:rPr>
                <w:rFonts w:ascii="Calibri" w:hAnsi="Calibri"/>
                <w:b w:val="0"/>
                <w:color w:val="000000"/>
                <w:sz w:val="19"/>
              </w:rPr>
              <w:t>failed=0 and new incident linked to the event.</w:t>
            </w:r>
          </w:p>
        </w:tc>
      </w:tr>
      <w:tr>
        <w:tc>
          <w:tcPr>
            <w:tcW w:type="dxa" w:w="1008"/>
            <w:vAlign w:val="center"/>
            <w:tcMar>
              <w:top w:w="80" w:type="dxa"/>
              <w:start w:w="120" w:type="dxa"/>
              <w:bottom w:w="80" w:type="dxa"/>
              <w:end w:w="120" w:type="dxa"/>
            </w:tcMar>
          </w:tcPr>
          <w:p>
            <w:pPr>
              <w:spacing w:after="0"/>
            </w:pPr>
            <w:r/>
            <w:r>
              <w:rPr>
                <w:rFonts w:ascii="Calibri" w:hAnsi="Calibri"/>
                <w:b w:val="0"/>
                <w:color w:val="000000"/>
                <w:sz w:val="19"/>
              </w:rPr>
              <w:t>P2</w:t>
            </w:r>
          </w:p>
        </w:tc>
        <w:tc>
          <w:tcPr>
            <w:tcW w:type="dxa" w:w="4824"/>
            <w:vAlign w:val="center"/>
            <w:tcMar>
              <w:top w:w="80" w:type="dxa"/>
              <w:start w:w="120" w:type="dxa"/>
              <w:bottom w:w="80" w:type="dxa"/>
              <w:end w:w="120" w:type="dxa"/>
            </w:tcMar>
          </w:tcPr>
          <w:p>
            <w:pPr>
              <w:spacing w:after="0"/>
            </w:pPr>
            <w:r/>
            <w:r>
              <w:rPr>
                <w:rFonts w:ascii="Calibri" w:hAnsi="Calibri"/>
                <w:b w:val="0"/>
                <w:color w:val="000000"/>
                <w:sz w:val="19"/>
              </w:rPr>
              <w:t>Verify MITRE mapping and analyst decision.</w:t>
            </w:r>
          </w:p>
        </w:tc>
        <w:tc>
          <w:tcPr>
            <w:tcW w:type="dxa" w:w="3528"/>
            <w:vAlign w:val="center"/>
            <w:tcMar>
              <w:top w:w="80" w:type="dxa"/>
              <w:start w:w="120" w:type="dxa"/>
              <w:bottom w:w="80" w:type="dxa"/>
              <w:end w:w="120" w:type="dxa"/>
            </w:tcMar>
          </w:tcPr>
          <w:p>
            <w:pPr>
              <w:spacing w:after="0"/>
            </w:pPr>
            <w:r/>
            <w:r>
              <w:rPr>
                <w:rFonts w:ascii="Calibri" w:hAnsi="Calibri"/>
                <w:b w:val="0"/>
                <w:color w:val="000000"/>
                <w:sz w:val="19"/>
              </w:rPr>
              <w:t>T1046 supported by evidence; response documented.</w:t>
            </w:r>
          </w:p>
        </w:tc>
      </w:tr>
      <w:tr>
        <w:tc>
          <w:tcPr>
            <w:tcW w:type="dxa" w:w="1008"/>
            <w:vAlign w:val="center"/>
            <w:tcMar>
              <w:top w:w="80" w:type="dxa"/>
              <w:start w:w="120" w:type="dxa"/>
              <w:bottom w:w="80" w:type="dxa"/>
              <w:end w:w="120" w:type="dxa"/>
            </w:tcMar>
            <w:shd w:fill="F7F9FB"/>
          </w:tcPr>
          <w:p>
            <w:pPr>
              <w:spacing w:after="0"/>
            </w:pPr>
            <w:r/>
            <w:r>
              <w:rPr>
                <w:rFonts w:ascii="Calibri" w:hAnsi="Calibri"/>
                <w:b w:val="0"/>
                <w:color w:val="000000"/>
                <w:sz w:val="19"/>
              </w:rPr>
              <w:t>P3</w:t>
            </w:r>
          </w:p>
        </w:tc>
        <w:tc>
          <w:tcPr>
            <w:tcW w:type="dxa" w:w="4824"/>
            <w:vAlign w:val="center"/>
            <w:tcMar>
              <w:top w:w="80" w:type="dxa"/>
              <w:start w:w="120" w:type="dxa"/>
              <w:bottom w:w="80" w:type="dxa"/>
              <w:end w:w="120" w:type="dxa"/>
            </w:tcMar>
            <w:shd w:fill="F7F9FB"/>
          </w:tcPr>
          <w:p>
            <w:pPr>
              <w:spacing w:after="0"/>
            </w:pPr>
            <w:r/>
            <w:r>
              <w:rPr>
                <w:rFonts w:ascii="Calibri" w:hAnsi="Calibri"/>
                <w:b w:val="0"/>
                <w:color w:val="000000"/>
                <w:sz w:val="19"/>
              </w:rPr>
              <w:t>Record detection latency and triage latency.</w:t>
            </w:r>
          </w:p>
        </w:tc>
        <w:tc>
          <w:tcPr>
            <w:tcW w:type="dxa" w:w="3528"/>
            <w:vAlign w:val="center"/>
            <w:tcMar>
              <w:top w:w="80" w:type="dxa"/>
              <w:start w:w="120" w:type="dxa"/>
              <w:bottom w:w="80" w:type="dxa"/>
              <w:end w:w="120" w:type="dxa"/>
            </w:tcMar>
            <w:shd w:fill="F7F9FB"/>
          </w:tcPr>
          <w:p>
            <w:pPr>
              <w:spacing w:after="0"/>
            </w:pPr>
            <w:r/>
            <w:r>
              <w:rPr>
                <w:rFonts w:ascii="Calibri" w:hAnsi="Calibri"/>
                <w:b w:val="0"/>
                <w:color w:val="000000"/>
                <w:sz w:val="19"/>
              </w:rPr>
              <w:t>Measured timestamps included in final report.</w:t>
            </w:r>
          </w:p>
        </w:tc>
      </w:tr>
    </w:tbl>
    <w:p>
      <w:pPr>
        <w:pStyle w:val="Heading2"/>
      </w:pPr>
      <w:r>
        <w:t>Retest procedure</w:t>
      </w:r>
    </w:p>
    <w:p>
      <w:pPr>
        <w:pStyle w:val="ListNumber"/>
      </w:pPr>
      <w:r>
        <w:t>On Kali, record date -Is and ip -br address.</w:t>
      </w:r>
    </w:p>
    <w:p>
      <w:pPr>
        <w:pStyle w:val="ListNumber"/>
      </w:pPr>
      <w:r>
        <w:t>Run: sudo nmap -sS -sV -T3 --top-ports 20 10.0.10.20.</w:t>
      </w:r>
    </w:p>
    <w:p>
      <w:pPr>
        <w:pStyle w:val="ListNumber"/>
      </w:pPr>
      <w:r>
        <w:t>In Splunk, search index=suricata earliest=-15m src_ip=&lt;confirmed_Kali_IP&gt; dest_ip=10.0.10.20 event_type=alert.</w:t>
      </w:r>
    </w:p>
    <w:p>
      <w:pPr>
        <w:pStyle w:val="ListNumber"/>
      </w:pPr>
      <w:r>
        <w:t>Capture alert.signature, ports, timestamps, reporting host and raw event.</w:t>
      </w:r>
    </w:p>
    <w:p>
      <w:pPr>
        <w:pStyle w:val="ListNumber"/>
      </w:pPr>
      <w:r>
        <w:t>Run ai-soc-pipeline.service and record the summary.</w:t>
      </w:r>
    </w:p>
    <w:p>
      <w:pPr>
        <w:pStyle w:val="ListNumber"/>
      </w:pPr>
      <w:r>
        <w:t>Capture dashboard severity, verdict, evidence, MITRE mapping and recommended response.</w:t>
      </w:r>
    </w:p>
    <w:p>
      <w:pPr>
        <w:pStyle w:val="ListNumber"/>
      </w:pPr>
      <w:r>
        <w:t>Close TEST-001 only when all acceptance criteria pass.</w:t>
      </w:r>
    </w:p>
    <w:p>
      <w:r>
        <w:br w:type="page"/>
      </w:r>
    </w:p>
    <w:p>
      <w:pPr>
        <w:pStyle w:val="Heading1"/>
      </w:pPr>
      <w:r>
        <w:t>7. Framework alignment</w:t>
      </w:r>
    </w:p>
    <w:tbl>
      <w:tblPr>
        <w:tblW w:type="auto" w:w="0"/>
        <w:jc w:val="center"/>
        <w:tblLayout w:type="fixed"/>
        <w:tblLook w:firstColumn="1" w:firstRow="1" w:lastColumn="0" w:lastRow="0" w:noHBand="0" w:noVBand="1" w:val="04A0"/>
      </w:tblPr>
      <w:tblGrid>
        <w:gridCol w:w="2232"/>
        <w:gridCol w:w="3384"/>
        <w:gridCol w:w="3744"/>
      </w:tblGrid>
      <w:tr>
        <w:trPr>
          <w:tblHeader/>
        </w:trPr>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Framework</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Relevant function/control area</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Project evidence</w:t>
            </w:r>
          </w:p>
        </w:tc>
      </w:tr>
      <w:tr>
        <w:tc>
          <w:tcPr>
            <w:tcW w:type="dxa" w:w="2232"/>
            <w:vAlign w:val="center"/>
            <w:tcMar>
              <w:top w:w="80" w:type="dxa"/>
              <w:start w:w="120" w:type="dxa"/>
              <w:bottom w:w="80" w:type="dxa"/>
              <w:end w:w="120" w:type="dxa"/>
            </w:tcMar>
          </w:tcPr>
          <w:p>
            <w:pPr>
              <w:spacing w:after="0"/>
            </w:pPr>
            <w:r/>
            <w:r>
              <w:rPr>
                <w:rFonts w:ascii="Calibri" w:hAnsi="Calibri"/>
                <w:b w:val="0"/>
                <w:color w:val="000000"/>
                <w:sz w:val="19"/>
              </w:rPr>
              <w:t>ISO/IEC 27001:2022</w:t>
            </w:r>
          </w:p>
        </w:tc>
        <w:tc>
          <w:tcPr>
            <w:tcW w:type="dxa" w:w="3384"/>
            <w:vAlign w:val="center"/>
            <w:tcMar>
              <w:top w:w="80" w:type="dxa"/>
              <w:start w:w="120" w:type="dxa"/>
              <w:bottom w:w="80" w:type="dxa"/>
              <w:end w:w="120" w:type="dxa"/>
            </w:tcMar>
          </w:tcPr>
          <w:p>
            <w:pPr>
              <w:spacing w:after="0"/>
            </w:pPr>
            <w:r/>
            <w:r>
              <w:rPr>
                <w:rFonts w:ascii="Calibri" w:hAnsi="Calibri"/>
                <w:b w:val="0"/>
                <w:color w:val="000000"/>
                <w:sz w:val="19"/>
              </w:rPr>
              <w:t>A.8.15 Logging; A.8.16 Monitoring activities</w:t>
            </w:r>
          </w:p>
        </w:tc>
        <w:tc>
          <w:tcPr>
            <w:tcW w:type="dxa" w:w="3744"/>
            <w:vAlign w:val="center"/>
            <w:tcMar>
              <w:top w:w="80" w:type="dxa"/>
              <w:start w:w="120" w:type="dxa"/>
              <w:bottom w:w="80" w:type="dxa"/>
              <w:end w:w="120" w:type="dxa"/>
            </w:tcMar>
          </w:tcPr>
          <w:p>
            <w:pPr>
              <w:spacing w:after="0"/>
            </w:pPr>
            <w:r/>
            <w:r>
              <w:rPr>
                <w:rFonts w:ascii="Calibri" w:hAnsi="Calibri"/>
                <w:b w:val="0"/>
                <w:color w:val="000000"/>
                <w:sz w:val="19"/>
              </w:rPr>
              <w:t>Suricata events collected and searchable in Splunk.</w:t>
            </w:r>
          </w:p>
        </w:tc>
      </w:tr>
      <w:tr>
        <w:tc>
          <w:tcPr>
            <w:tcW w:type="dxa" w:w="2232"/>
            <w:vAlign w:val="center"/>
            <w:tcMar>
              <w:top w:w="80" w:type="dxa"/>
              <w:start w:w="120" w:type="dxa"/>
              <w:bottom w:w="80" w:type="dxa"/>
              <w:end w:w="120" w:type="dxa"/>
            </w:tcMar>
            <w:shd w:fill="F7F9FB"/>
          </w:tcPr>
          <w:p>
            <w:pPr>
              <w:spacing w:after="0"/>
            </w:pPr>
            <w:r/>
            <w:r>
              <w:rPr>
                <w:rFonts w:ascii="Calibri" w:hAnsi="Calibri"/>
                <w:b w:val="0"/>
                <w:color w:val="000000"/>
                <w:sz w:val="19"/>
              </w:rPr>
              <w:t>ISO/IEC 27001:2022</w:t>
            </w:r>
          </w:p>
        </w:tc>
        <w:tc>
          <w:tcPr>
            <w:tcW w:type="dxa" w:w="3384"/>
            <w:vAlign w:val="center"/>
            <w:tcMar>
              <w:top w:w="80" w:type="dxa"/>
              <w:start w:w="120" w:type="dxa"/>
              <w:bottom w:w="80" w:type="dxa"/>
              <w:end w:w="120" w:type="dxa"/>
            </w:tcMar>
            <w:shd w:fill="F7F9FB"/>
          </w:tcPr>
          <w:p>
            <w:pPr>
              <w:spacing w:after="0"/>
            </w:pPr>
            <w:r/>
            <w:r>
              <w:rPr>
                <w:rFonts w:ascii="Calibri" w:hAnsi="Calibri"/>
                <w:b w:val="0"/>
                <w:color w:val="000000"/>
                <w:sz w:val="19"/>
              </w:rPr>
              <w:t>A.5.24–A.5.28 incident planning, assessment, response, learning and evidence</w:t>
            </w:r>
          </w:p>
        </w:tc>
        <w:tc>
          <w:tcPr>
            <w:tcW w:type="dxa" w:w="3744"/>
            <w:vAlign w:val="center"/>
            <w:tcMar>
              <w:top w:w="80" w:type="dxa"/>
              <w:start w:w="120" w:type="dxa"/>
              <w:bottom w:w="80" w:type="dxa"/>
              <w:end w:w="120" w:type="dxa"/>
            </w:tcMar>
            <w:shd w:fill="F7F9FB"/>
          </w:tcPr>
          <w:p>
            <w:pPr>
              <w:spacing w:after="0"/>
            </w:pPr>
            <w:r/>
            <w:r>
              <w:rPr>
                <w:rFonts w:ascii="Calibri" w:hAnsi="Calibri"/>
                <w:b w:val="0"/>
                <w:color w:val="000000"/>
                <w:sz w:val="19"/>
              </w:rPr>
              <w:t>Structured test record, evidence handling and corrective actions.</w:t>
            </w:r>
          </w:p>
        </w:tc>
      </w:tr>
      <w:tr>
        <w:tc>
          <w:tcPr>
            <w:tcW w:type="dxa" w:w="2232"/>
            <w:vAlign w:val="center"/>
            <w:tcMar>
              <w:top w:w="80" w:type="dxa"/>
              <w:start w:w="120" w:type="dxa"/>
              <w:bottom w:w="80" w:type="dxa"/>
              <w:end w:w="120" w:type="dxa"/>
            </w:tcMar>
          </w:tcPr>
          <w:p>
            <w:pPr>
              <w:spacing w:after="0"/>
            </w:pPr>
            <w:r/>
            <w:r>
              <w:rPr>
                <w:rFonts w:ascii="Calibri" w:hAnsi="Calibri"/>
                <w:b w:val="0"/>
                <w:color w:val="000000"/>
                <w:sz w:val="19"/>
              </w:rPr>
              <w:t>NIST CSF 2.0</w:t>
            </w:r>
          </w:p>
        </w:tc>
        <w:tc>
          <w:tcPr>
            <w:tcW w:type="dxa" w:w="3384"/>
            <w:vAlign w:val="center"/>
            <w:tcMar>
              <w:top w:w="80" w:type="dxa"/>
              <w:start w:w="120" w:type="dxa"/>
              <w:bottom w:w="80" w:type="dxa"/>
              <w:end w:w="120" w:type="dxa"/>
            </w:tcMar>
          </w:tcPr>
          <w:p>
            <w:pPr>
              <w:spacing w:after="0"/>
            </w:pPr>
            <w:r/>
            <w:r>
              <w:rPr>
                <w:rFonts w:ascii="Calibri" w:hAnsi="Calibri"/>
                <w:b w:val="0"/>
                <w:color w:val="000000"/>
                <w:sz w:val="19"/>
              </w:rPr>
              <w:t>DE.CM, DE.AE, RS.AN, RS.MI, RC.IM</w:t>
            </w:r>
          </w:p>
        </w:tc>
        <w:tc>
          <w:tcPr>
            <w:tcW w:type="dxa" w:w="3744"/>
            <w:vAlign w:val="center"/>
            <w:tcMar>
              <w:top w:w="80" w:type="dxa"/>
              <w:start w:w="120" w:type="dxa"/>
              <w:bottom w:w="80" w:type="dxa"/>
              <w:end w:w="120" w:type="dxa"/>
            </w:tcMar>
          </w:tcPr>
          <w:p>
            <w:pPr>
              <w:spacing w:after="0"/>
            </w:pPr>
            <w:r/>
            <w:r>
              <w:rPr>
                <w:rFonts w:ascii="Calibri" w:hAnsi="Calibri"/>
                <w:b w:val="0"/>
                <w:color w:val="000000"/>
                <w:sz w:val="19"/>
              </w:rPr>
              <w:t>Monitoring, event analysis, response decision and improvement workflow.</w:t>
            </w:r>
          </w:p>
        </w:tc>
      </w:tr>
      <w:tr>
        <w:tc>
          <w:tcPr>
            <w:tcW w:type="dxa" w:w="2232"/>
            <w:vAlign w:val="center"/>
            <w:tcMar>
              <w:top w:w="80" w:type="dxa"/>
              <w:start w:w="120" w:type="dxa"/>
              <w:bottom w:w="80" w:type="dxa"/>
              <w:end w:w="120" w:type="dxa"/>
            </w:tcMar>
            <w:shd w:fill="F7F9FB"/>
          </w:tcPr>
          <w:p>
            <w:pPr>
              <w:spacing w:after="0"/>
            </w:pPr>
            <w:r/>
            <w:r>
              <w:rPr>
                <w:rFonts w:ascii="Calibri" w:hAnsi="Calibri"/>
                <w:b w:val="0"/>
                <w:color w:val="000000"/>
                <w:sz w:val="19"/>
              </w:rPr>
              <w:t>NIST SP 800-61</w:t>
            </w:r>
          </w:p>
        </w:tc>
        <w:tc>
          <w:tcPr>
            <w:tcW w:type="dxa" w:w="3384"/>
            <w:vAlign w:val="center"/>
            <w:tcMar>
              <w:top w:w="80" w:type="dxa"/>
              <w:start w:w="120" w:type="dxa"/>
              <w:bottom w:w="80" w:type="dxa"/>
              <w:end w:w="120" w:type="dxa"/>
            </w:tcMar>
            <w:shd w:fill="F7F9FB"/>
          </w:tcPr>
          <w:p>
            <w:pPr>
              <w:spacing w:after="0"/>
            </w:pPr>
            <w:r/>
            <w:r>
              <w:rPr>
                <w:rFonts w:ascii="Calibri" w:hAnsi="Calibri"/>
                <w:b w:val="0"/>
                <w:color w:val="000000"/>
                <w:sz w:val="19"/>
              </w:rPr>
              <w:t>Preparation; Detection and Analysis; Containment; Post-Incident Activity</w:t>
            </w:r>
          </w:p>
        </w:tc>
        <w:tc>
          <w:tcPr>
            <w:tcW w:type="dxa" w:w="3744"/>
            <w:vAlign w:val="center"/>
            <w:tcMar>
              <w:top w:w="80" w:type="dxa"/>
              <w:start w:w="120" w:type="dxa"/>
              <w:bottom w:w="80" w:type="dxa"/>
              <w:end w:w="120" w:type="dxa"/>
            </w:tcMar>
            <w:shd w:fill="F7F9FB"/>
          </w:tcPr>
          <w:p>
            <w:pPr>
              <w:spacing w:after="0"/>
            </w:pPr>
            <w:r/>
            <w:r>
              <w:rPr>
                <w:rFonts w:ascii="Calibri" w:hAnsi="Calibri"/>
                <w:b w:val="0"/>
                <w:color w:val="000000"/>
                <w:sz w:val="19"/>
              </w:rPr>
              <w:t>Authorized test, evidence assessment, no unnecessary containment, retest plan.</w:t>
            </w:r>
          </w:p>
        </w:tc>
      </w:tr>
      <w:tr>
        <w:tc>
          <w:tcPr>
            <w:tcW w:type="dxa" w:w="2232"/>
            <w:vAlign w:val="center"/>
            <w:tcMar>
              <w:top w:w="80" w:type="dxa"/>
              <w:start w:w="120" w:type="dxa"/>
              <w:bottom w:w="80" w:type="dxa"/>
              <w:end w:w="120" w:type="dxa"/>
            </w:tcMar>
          </w:tcPr>
          <w:p>
            <w:pPr>
              <w:spacing w:after="0"/>
            </w:pPr>
            <w:r/>
            <w:r>
              <w:rPr>
                <w:rFonts w:ascii="Calibri" w:hAnsi="Calibri"/>
                <w:b w:val="0"/>
                <w:color w:val="000000"/>
                <w:sz w:val="19"/>
              </w:rPr>
              <w:t>MITRE ATT&amp;CK</w:t>
            </w:r>
          </w:p>
        </w:tc>
        <w:tc>
          <w:tcPr>
            <w:tcW w:type="dxa" w:w="3384"/>
            <w:vAlign w:val="center"/>
            <w:tcMar>
              <w:top w:w="80" w:type="dxa"/>
              <w:start w:w="120" w:type="dxa"/>
              <w:bottom w:w="80" w:type="dxa"/>
              <w:end w:w="120" w:type="dxa"/>
            </w:tcMar>
          </w:tcPr>
          <w:p>
            <w:pPr>
              <w:spacing w:after="0"/>
            </w:pPr>
            <w:r/>
            <w:r>
              <w:rPr>
                <w:rFonts w:ascii="Calibri" w:hAnsi="Calibri"/>
                <w:b w:val="0"/>
                <w:color w:val="000000"/>
                <w:sz w:val="19"/>
              </w:rPr>
              <w:t>T1046 Network Service Discovery</w:t>
            </w:r>
          </w:p>
        </w:tc>
        <w:tc>
          <w:tcPr>
            <w:tcW w:type="dxa" w:w="3744"/>
            <w:vAlign w:val="center"/>
            <w:tcMar>
              <w:top w:w="80" w:type="dxa"/>
              <w:start w:w="120" w:type="dxa"/>
              <w:bottom w:w="80" w:type="dxa"/>
              <w:end w:w="120" w:type="dxa"/>
            </w:tcMar>
          </w:tcPr>
          <w:p>
            <w:pPr>
              <w:spacing w:after="0"/>
            </w:pPr>
            <w:r/>
            <w:r>
              <w:rPr>
                <w:rFonts w:ascii="Calibri" w:hAnsi="Calibri"/>
                <w:b w:val="0"/>
                <w:color w:val="000000"/>
                <w:sz w:val="19"/>
              </w:rPr>
              <w:t>Candidate mapping; not confirmed by current evidence.</w:t>
            </w:r>
          </w:p>
        </w:tc>
      </w:tr>
    </w:tbl>
    <w:p>
      <w:pPr>
        <w:pStyle w:val="Heading1"/>
      </w:pPr>
      <w:r>
        <w:t>8. Evidence-handling record</w:t>
      </w:r>
    </w:p>
    <w:p>
      <w:r>
        <w:t>Original evidence should be retained read-only. For repeatable evidence handling, record filename, capture time, collector, source system and SHA-256 hash. Screenshots support the finding but do not replace raw Splunk exports or audit logs.</w:t>
      </w:r>
    </w:p>
    <w:tbl>
      <w:tblPr>
        <w:tblW w:type="auto" w:w="0"/>
        <w:jc w:val="center"/>
        <w:tblLayout w:type="fixed"/>
        <w:tblLook w:firstColumn="1" w:firstRow="1" w:lastColumn="0" w:lastRow="0" w:noHBand="0" w:noVBand="1" w:val="04A0"/>
      </w:tblPr>
      <w:tblGrid>
        <w:gridCol w:w="1944"/>
        <w:gridCol w:w="5688"/>
        <w:gridCol w:w="1728"/>
      </w:tblGrid>
      <w:tr>
        <w:trPr>
          <w:tblHeader/>
        </w:trPr>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Evidence ID</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Description</w:t>
            </w:r>
          </w:p>
        </w:tc>
        <w:tc>
          <w:tcPr>
            <w:tcW w:type="dxa" w:w="3120"/>
            <w:vAlign w:val="center"/>
            <w:tcMar>
              <w:top w:w="80" w:type="dxa"/>
              <w:start w:w="120" w:type="dxa"/>
              <w:bottom w:w="80" w:type="dxa"/>
              <w:end w:w="120" w:type="dxa"/>
            </w:tcMar>
            <w:shd w:fill="17365D"/>
          </w:tcPr>
          <w:p>
            <w:pPr>
              <w:spacing w:after="0"/>
            </w:pPr>
            <w:r/>
            <w:r>
              <w:rPr>
                <w:rFonts w:ascii="Calibri" w:hAnsi="Calibri"/>
                <w:b/>
                <w:color w:val="FFFFFF"/>
                <w:sz w:val="19"/>
              </w:rPr>
              <w:t>Status</w:t>
            </w:r>
          </w:p>
        </w:tc>
      </w:tr>
      <w:tr>
        <w:tc>
          <w:tcPr>
            <w:tcW w:type="dxa" w:w="1944"/>
            <w:vAlign w:val="center"/>
            <w:tcMar>
              <w:top w:w="80" w:type="dxa"/>
              <w:start w:w="120" w:type="dxa"/>
              <w:bottom w:w="80" w:type="dxa"/>
              <w:end w:w="120" w:type="dxa"/>
            </w:tcMar>
          </w:tcPr>
          <w:p>
            <w:pPr>
              <w:spacing w:after="0"/>
            </w:pPr>
            <w:r/>
            <w:r>
              <w:rPr>
                <w:rFonts w:ascii="Calibri" w:hAnsi="Calibri"/>
                <w:b w:val="0"/>
                <w:color w:val="000000"/>
                <w:sz w:val="19"/>
              </w:rPr>
              <w:t>EV-TEST001-01</w:t>
            </w:r>
          </w:p>
        </w:tc>
        <w:tc>
          <w:tcPr>
            <w:tcW w:type="dxa" w:w="5688"/>
            <w:vAlign w:val="center"/>
            <w:tcMar>
              <w:top w:w="80" w:type="dxa"/>
              <w:start w:w="120" w:type="dxa"/>
              <w:bottom w:w="80" w:type="dxa"/>
              <w:end w:w="120" w:type="dxa"/>
            </w:tcMar>
          </w:tcPr>
          <w:p>
            <w:pPr>
              <w:spacing w:after="0"/>
            </w:pPr>
            <w:r/>
            <w:r>
              <w:rPr>
                <w:rFonts w:ascii="Calibri" w:hAnsi="Calibri"/>
                <w:b w:val="0"/>
                <w:color w:val="000000"/>
                <w:sz w:val="19"/>
              </w:rPr>
              <w:t>Splunk screenshot: four Suricata SSH/flow events</w:t>
            </w:r>
          </w:p>
        </w:tc>
        <w:tc>
          <w:tcPr>
            <w:tcW w:type="dxa" w:w="1728"/>
            <w:vAlign w:val="center"/>
            <w:tcMar>
              <w:top w:w="80" w:type="dxa"/>
              <w:start w:w="120" w:type="dxa"/>
              <w:bottom w:w="80" w:type="dxa"/>
              <w:end w:w="120" w:type="dxa"/>
            </w:tcMar>
          </w:tcPr>
          <w:p>
            <w:pPr>
              <w:spacing w:after="0"/>
            </w:pPr>
            <w:r/>
            <w:r>
              <w:rPr>
                <w:rFonts w:ascii="Calibri" w:hAnsi="Calibri"/>
                <w:b w:val="0"/>
                <w:color w:val="000000"/>
                <w:sz w:val="19"/>
              </w:rPr>
              <w:t>Included</w:t>
            </w:r>
          </w:p>
        </w:tc>
      </w:tr>
      <w:tr>
        <w:tc>
          <w:tcPr>
            <w:tcW w:type="dxa" w:w="1944"/>
            <w:vAlign w:val="center"/>
            <w:tcMar>
              <w:top w:w="80" w:type="dxa"/>
              <w:start w:w="120" w:type="dxa"/>
              <w:bottom w:w="80" w:type="dxa"/>
              <w:end w:w="120" w:type="dxa"/>
            </w:tcMar>
            <w:shd w:fill="F7F9FB"/>
          </w:tcPr>
          <w:p>
            <w:pPr>
              <w:spacing w:after="0"/>
            </w:pPr>
            <w:r/>
            <w:r>
              <w:rPr>
                <w:rFonts w:ascii="Calibri" w:hAnsi="Calibri"/>
                <w:b w:val="0"/>
                <w:color w:val="000000"/>
                <w:sz w:val="19"/>
              </w:rPr>
              <w:t>EV-TEST001-02</w:t>
            </w:r>
          </w:p>
        </w:tc>
        <w:tc>
          <w:tcPr>
            <w:tcW w:type="dxa" w:w="5688"/>
            <w:vAlign w:val="center"/>
            <w:tcMar>
              <w:top w:w="80" w:type="dxa"/>
              <w:start w:w="120" w:type="dxa"/>
              <w:bottom w:w="80" w:type="dxa"/>
              <w:end w:w="120" w:type="dxa"/>
            </w:tcMar>
            <w:shd w:fill="F7F9FB"/>
          </w:tcPr>
          <w:p>
            <w:pPr>
              <w:spacing w:after="0"/>
            </w:pPr>
            <w:r/>
            <w:r>
              <w:rPr>
                <w:rFonts w:ascii="Calibri" w:hAnsi="Calibri"/>
                <w:b w:val="0"/>
                <w:color w:val="000000"/>
                <w:sz w:val="19"/>
              </w:rPr>
              <w:t>Kali command output and timestamps</w:t>
            </w:r>
          </w:p>
        </w:tc>
        <w:tc>
          <w:tcPr>
            <w:tcW w:type="dxa" w:w="1728"/>
            <w:vAlign w:val="center"/>
            <w:tcMar>
              <w:top w:w="80" w:type="dxa"/>
              <w:start w:w="120" w:type="dxa"/>
              <w:bottom w:w="80" w:type="dxa"/>
              <w:end w:w="120" w:type="dxa"/>
            </w:tcMar>
            <w:shd w:fill="F7F9FB"/>
          </w:tcPr>
          <w:p>
            <w:pPr>
              <w:spacing w:after="0"/>
            </w:pPr>
            <w:r/>
            <w:r>
              <w:rPr>
                <w:rFonts w:ascii="Calibri" w:hAnsi="Calibri"/>
                <w:b w:val="0"/>
                <w:color w:val="000000"/>
                <w:sz w:val="19"/>
              </w:rPr>
              <w:t>Pending attachment</w:t>
            </w:r>
          </w:p>
        </w:tc>
      </w:tr>
      <w:tr>
        <w:tc>
          <w:tcPr>
            <w:tcW w:type="dxa" w:w="1944"/>
            <w:vAlign w:val="center"/>
            <w:tcMar>
              <w:top w:w="80" w:type="dxa"/>
              <w:start w:w="120" w:type="dxa"/>
              <w:bottom w:w="80" w:type="dxa"/>
              <w:end w:w="120" w:type="dxa"/>
            </w:tcMar>
          </w:tcPr>
          <w:p>
            <w:pPr>
              <w:spacing w:after="0"/>
            </w:pPr>
            <w:r/>
            <w:r>
              <w:rPr>
                <w:rFonts w:ascii="Calibri" w:hAnsi="Calibri"/>
                <w:b w:val="0"/>
                <w:color w:val="000000"/>
                <w:sz w:val="19"/>
              </w:rPr>
              <w:t>EV-TEST001-03</w:t>
            </w:r>
          </w:p>
        </w:tc>
        <w:tc>
          <w:tcPr>
            <w:tcW w:type="dxa" w:w="5688"/>
            <w:vAlign w:val="center"/>
            <w:tcMar>
              <w:top w:w="80" w:type="dxa"/>
              <w:start w:w="120" w:type="dxa"/>
              <w:bottom w:w="80" w:type="dxa"/>
              <w:end w:w="120" w:type="dxa"/>
            </w:tcMar>
          </w:tcPr>
          <w:p>
            <w:pPr>
              <w:spacing w:after="0"/>
            </w:pPr>
            <w:r/>
            <w:r>
              <w:rPr>
                <w:rFonts w:ascii="Calibri" w:hAnsi="Calibri"/>
                <w:b w:val="0"/>
                <w:color w:val="000000"/>
                <w:sz w:val="19"/>
              </w:rPr>
              <w:t>Raw Splunk event export</w:t>
            </w:r>
          </w:p>
        </w:tc>
        <w:tc>
          <w:tcPr>
            <w:tcW w:type="dxa" w:w="1728"/>
            <w:vAlign w:val="center"/>
            <w:tcMar>
              <w:top w:w="80" w:type="dxa"/>
              <w:start w:w="120" w:type="dxa"/>
              <w:bottom w:w="80" w:type="dxa"/>
              <w:end w:w="120" w:type="dxa"/>
            </w:tcMar>
          </w:tcPr>
          <w:p>
            <w:pPr>
              <w:spacing w:after="0"/>
            </w:pPr>
            <w:r/>
            <w:r>
              <w:rPr>
                <w:rFonts w:ascii="Calibri" w:hAnsi="Calibri"/>
                <w:b w:val="0"/>
                <w:color w:val="000000"/>
                <w:sz w:val="19"/>
              </w:rPr>
              <w:t>Pending</w:t>
            </w:r>
          </w:p>
        </w:tc>
      </w:tr>
      <w:tr>
        <w:tc>
          <w:tcPr>
            <w:tcW w:type="dxa" w:w="1944"/>
            <w:vAlign w:val="center"/>
            <w:tcMar>
              <w:top w:w="80" w:type="dxa"/>
              <w:start w:w="120" w:type="dxa"/>
              <w:bottom w:w="80" w:type="dxa"/>
              <w:end w:w="120" w:type="dxa"/>
            </w:tcMar>
            <w:shd w:fill="F7F9FB"/>
          </w:tcPr>
          <w:p>
            <w:pPr>
              <w:spacing w:after="0"/>
            </w:pPr>
            <w:r/>
            <w:r>
              <w:rPr>
                <w:rFonts w:ascii="Calibri" w:hAnsi="Calibri"/>
                <w:b w:val="0"/>
                <w:color w:val="000000"/>
                <w:sz w:val="19"/>
              </w:rPr>
              <w:t>EV-TEST001-04</w:t>
            </w:r>
          </w:p>
        </w:tc>
        <w:tc>
          <w:tcPr>
            <w:tcW w:type="dxa" w:w="5688"/>
            <w:vAlign w:val="center"/>
            <w:tcMar>
              <w:top w:w="80" w:type="dxa"/>
              <w:start w:w="120" w:type="dxa"/>
              <w:bottom w:w="80" w:type="dxa"/>
              <w:end w:w="120" w:type="dxa"/>
            </w:tcMar>
            <w:shd w:fill="F7F9FB"/>
          </w:tcPr>
          <w:p>
            <w:pPr>
              <w:spacing w:after="0"/>
            </w:pPr>
            <w:r/>
            <w:r>
              <w:rPr>
                <w:rFonts w:ascii="Calibri" w:hAnsi="Calibri"/>
                <w:b w:val="0"/>
                <w:color w:val="000000"/>
                <w:sz w:val="19"/>
              </w:rPr>
              <w:t>AI dashboard incident evidence</w:t>
            </w:r>
          </w:p>
        </w:tc>
        <w:tc>
          <w:tcPr>
            <w:tcW w:type="dxa" w:w="1728"/>
            <w:vAlign w:val="center"/>
            <w:tcMar>
              <w:top w:w="80" w:type="dxa"/>
              <w:start w:w="120" w:type="dxa"/>
              <w:bottom w:w="80" w:type="dxa"/>
              <w:end w:w="120" w:type="dxa"/>
            </w:tcMar>
            <w:shd w:fill="F7F9FB"/>
          </w:tcPr>
          <w:p>
            <w:pPr>
              <w:spacing w:after="0"/>
            </w:pPr>
            <w:r/>
            <w:r>
              <w:rPr>
                <w:rFonts w:ascii="Calibri" w:hAnsi="Calibri"/>
                <w:b w:val="0"/>
                <w:color w:val="000000"/>
                <w:sz w:val="19"/>
              </w:rPr>
              <w:t>Pending</w:t>
            </w:r>
          </w:p>
        </w:tc>
      </w:tr>
      <w:tr>
        <w:tc>
          <w:tcPr>
            <w:tcW w:type="dxa" w:w="1944"/>
            <w:vAlign w:val="center"/>
            <w:tcMar>
              <w:top w:w="80" w:type="dxa"/>
              <w:start w:w="120" w:type="dxa"/>
              <w:bottom w:w="80" w:type="dxa"/>
              <w:end w:w="120" w:type="dxa"/>
            </w:tcMar>
          </w:tcPr>
          <w:p>
            <w:pPr>
              <w:spacing w:after="0"/>
            </w:pPr>
            <w:r/>
            <w:r>
              <w:rPr>
                <w:rFonts w:ascii="Calibri" w:hAnsi="Calibri"/>
                <w:b w:val="0"/>
                <w:color w:val="000000"/>
                <w:sz w:val="19"/>
              </w:rPr>
              <w:t>EV-TEST001-05</w:t>
            </w:r>
          </w:p>
        </w:tc>
        <w:tc>
          <w:tcPr>
            <w:tcW w:type="dxa" w:w="5688"/>
            <w:vAlign w:val="center"/>
            <w:tcMar>
              <w:top w:w="80" w:type="dxa"/>
              <w:start w:w="120" w:type="dxa"/>
              <w:bottom w:w="80" w:type="dxa"/>
              <w:end w:w="120" w:type="dxa"/>
            </w:tcMar>
          </w:tcPr>
          <w:p>
            <w:pPr>
              <w:spacing w:after="0"/>
            </w:pPr>
            <w:r/>
            <w:r>
              <w:rPr>
                <w:rFonts w:ascii="Calibri" w:hAnsi="Calibri"/>
                <w:b w:val="0"/>
                <w:color w:val="000000"/>
                <w:sz w:val="19"/>
              </w:rPr>
              <w:t>Pipeline failed=0 log</w:t>
            </w:r>
          </w:p>
        </w:tc>
        <w:tc>
          <w:tcPr>
            <w:tcW w:type="dxa" w:w="1728"/>
            <w:vAlign w:val="center"/>
            <w:tcMar>
              <w:top w:w="80" w:type="dxa"/>
              <w:start w:w="120" w:type="dxa"/>
              <w:bottom w:w="80" w:type="dxa"/>
              <w:end w:w="120" w:type="dxa"/>
            </w:tcMar>
          </w:tcPr>
          <w:p>
            <w:pPr>
              <w:spacing w:after="0"/>
            </w:pPr>
            <w:r/>
            <w:r>
              <w:rPr>
                <w:rFonts w:ascii="Calibri" w:hAnsi="Calibri"/>
                <w:b w:val="0"/>
                <w:color w:val="000000"/>
                <w:sz w:val="19"/>
              </w:rPr>
              <w:t>Pending</w:t>
            </w:r>
          </w:p>
        </w:tc>
      </w:tr>
    </w:tbl>
    <w:p>
      <w:pPr>
        <w:pStyle w:val="Heading1"/>
      </w:pPr>
      <w:r>
        <w:t>9. Final disposition</w:t>
      </w:r>
    </w:p>
    <w:tbl>
      <w:tblPr>
        <w:tblW w:type="auto" w:w="0"/>
        <w:tblLayout w:type="fixed"/>
        <w:tblLook w:firstColumn="1" w:firstRow="1" w:lastColumn="0" w:lastRow="0" w:noHBand="0" w:noVBand="1" w:val="04A0"/>
      </w:tblPr>
      <w:tblGrid>
        <w:gridCol w:w="9360"/>
      </w:tblGrid>
      <w:tr>
        <w:tc>
          <w:tcPr>
            <w:tcW w:type="dxa" w:w="9360"/>
            <w:shd w:fill="FCE8E6"/>
            <w:tcMar>
              <w:top w:w="140" w:type="dxa"/>
              <w:start w:w="180" w:type="dxa"/>
              <w:bottom w:w="140" w:type="dxa"/>
              <w:end w:w="180" w:type="dxa"/>
            </w:tcMar>
          </w:tcPr>
          <w:p>
            <w:pPr>
              <w:spacing w:after="0"/>
            </w:pPr>
            <w:r>
              <w:rPr>
                <w:b/>
                <w:color w:val="9B1C1C"/>
              </w:rPr>
              <w:t xml:space="preserve">STATUS  </w:t>
            </w:r>
            <w:r>
              <w:t>OPEN FOR RETEST — telemetry pipeline passed; detection, AI triage and ATT&amp;CK mapping require additional evidence.</w:t>
            </w:r>
          </w:p>
        </w:tc>
      </w:tr>
    </w:tbl>
    <w:tbl>
      <w:tblPr>
        <w:tblW w:type="auto" w:w="0"/>
        <w:tblLayout w:type="fixed"/>
        <w:tblLook w:firstColumn="1" w:firstRow="1" w:lastColumn="0" w:lastRow="0" w:noHBand="0" w:noVBand="1" w:val="04A0"/>
      </w:tblPr>
      <w:tblGrid>
        <w:gridCol w:w="3456"/>
        <w:gridCol w:w="2160"/>
        <w:gridCol w:w="3744"/>
      </w:tblGrid>
      <w:tr>
        <w:tc>
          <w:tcPr>
            <w:tcW w:type="dxa" w:w="3120"/>
            <w:vAlign w:val="center"/>
            <w:tcMar>
              <w:top w:w="80" w:type="dxa"/>
              <w:start w:w="120" w:type="dxa"/>
              <w:bottom w:w="80" w:type="dxa"/>
              <w:end w:w="120" w:type="dxa"/>
            </w:tcMar>
          </w:tcPr>
          <w:p>
            <w:pPr>
              <w:spacing w:after="0"/>
            </w:pPr>
            <w:r/>
            <w:r>
              <w:rPr>
                <w:rFonts w:ascii="Calibri" w:hAnsi="Calibri"/>
                <w:b/>
                <w:color w:val="17365D"/>
                <w:sz w:val="18"/>
              </w:rPr>
              <w:t>Approval to close</w:t>
            </w:r>
          </w:p>
        </w:tc>
        <w:tc>
          <w:tcPr>
            <w:tcW w:type="dxa" w:w="3120"/>
            <w:vAlign w:val="center"/>
            <w:tcMar>
              <w:top w:w="80" w:type="dxa"/>
              <w:start w:w="120" w:type="dxa"/>
              <w:bottom w:w="80" w:type="dxa"/>
              <w:end w:w="120" w:type="dxa"/>
            </w:tcMar>
          </w:tcPr>
          <w:p>
            <w:pPr>
              <w:spacing w:after="0"/>
            </w:pPr>
            <w:r/>
            <w:r>
              <w:rPr>
                <w:rFonts w:ascii="Calibri" w:hAnsi="Calibri"/>
                <w:b/>
                <w:color w:val="17365D"/>
                <w:sz w:val="18"/>
              </w:rPr>
              <w:t>Date</w:t>
            </w:r>
          </w:p>
        </w:tc>
        <w:tc>
          <w:tcPr>
            <w:tcW w:type="dxa" w:w="3120"/>
            <w:vAlign w:val="center"/>
            <w:tcMar>
              <w:top w:w="80" w:type="dxa"/>
              <w:start w:w="120" w:type="dxa"/>
              <w:bottom w:w="80" w:type="dxa"/>
              <w:end w:w="120" w:type="dxa"/>
            </w:tcMar>
          </w:tcPr>
          <w:p>
            <w:pPr>
              <w:spacing w:after="0"/>
            </w:pPr>
            <w:r/>
            <w:r>
              <w:rPr>
                <w:rFonts w:ascii="Calibri" w:hAnsi="Calibri"/>
                <w:b/>
                <w:color w:val="17365D"/>
                <w:sz w:val="18"/>
              </w:rPr>
              <w:t>Retest result</w:t>
            </w:r>
          </w:p>
        </w:tc>
      </w:tr>
      <w:tr>
        <w:tc>
          <w:tcPr>
            <w:tcW w:type="dxa" w:w="3120"/>
            <w:vAlign w:val="center"/>
            <w:tcMar>
              <w:top w:w="80" w:type="dxa"/>
              <w:start w:w="120" w:type="dxa"/>
              <w:bottom w:w="80" w:type="dxa"/>
              <w:end w:w="120" w:type="dxa"/>
            </w:tcMar>
          </w:tcPr>
          <w:p>
            <w:pPr>
              <w:spacing w:after="0"/>
            </w:pPr>
            <w:r/>
            <w:r>
              <w:rPr>
                <w:rFonts w:ascii="Calibri" w:hAnsi="Calibri"/>
                <w:b w:val="0"/>
                <w:color w:val="000000"/>
                <w:sz w:val="18"/>
              </w:rPr>
              <w:t>________________________</w:t>
            </w:r>
          </w:p>
        </w:tc>
        <w:tc>
          <w:tcPr>
            <w:tcW w:type="dxa" w:w="3120"/>
            <w:vAlign w:val="center"/>
            <w:tcMar>
              <w:top w:w="80" w:type="dxa"/>
              <w:start w:w="120" w:type="dxa"/>
              <w:bottom w:w="80" w:type="dxa"/>
              <w:end w:w="120" w:type="dxa"/>
            </w:tcMar>
          </w:tcPr>
          <w:p>
            <w:pPr>
              <w:spacing w:after="0"/>
            </w:pPr>
            <w:r/>
            <w:r>
              <w:rPr>
                <w:rFonts w:ascii="Calibri" w:hAnsi="Calibri"/>
                <w:b w:val="0"/>
                <w:color w:val="000000"/>
                <w:sz w:val="18"/>
              </w:rPr>
              <w:t>________________________</w:t>
            </w:r>
          </w:p>
        </w:tc>
        <w:tc>
          <w:tcPr>
            <w:tcW w:type="dxa" w:w="3120"/>
            <w:vAlign w:val="center"/>
            <w:tcMar>
              <w:top w:w="80" w:type="dxa"/>
              <w:start w:w="120" w:type="dxa"/>
              <w:bottom w:w="80" w:type="dxa"/>
              <w:end w:w="120" w:type="dxa"/>
            </w:tcMar>
          </w:tcPr>
          <w:p>
            <w:pPr>
              <w:spacing w:after="0"/>
            </w:pPr>
            <w:r/>
            <w:r>
              <w:rPr>
                <w:rFonts w:ascii="Calibri" w:hAnsi="Calibri"/>
                <w:b w:val="0"/>
                <w:color w:val="000000"/>
                <w:sz w:val="18"/>
              </w:rPr>
              <w:t>________________________</w:t>
            </w:r>
          </w:p>
        </w:tc>
      </w:tr>
    </w:tbl>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Lab Evidence  |  TEST-001  |  Parakh Shinde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AI-AUGMENTED SOC TRIAGE PLATFORM  |  SECURITY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TEST-001 Network Reconnaissance Validation Report</dc:title>
  <dc:subject>AI-Augmented SOC Triage Platform security validation</dc:subject>
  <dc:creator>Parakh Shinde</dc:creator>
  <cp:keywords>SOC, Splunk, Suricata, ISO 27001, NIST, MITRE ATT&amp;CK, TEST-001</cp:keywords>
  <dc:description>generated by python-docx</dc:description>
  <cp:lastModifiedBy/>
  <cp:revision>1</cp:revision>
  <dcterms:created xsi:type="dcterms:W3CDTF">2013-12-23T23:15:00Z</dcterms:created>
  <dcterms:modified xsi:type="dcterms:W3CDTF">2013-12-23T23:15:00Z</dcterms:modified>
  <cp:category/>
</cp:coreProperties>
</file>