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120" w:after="12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Основная часть (уровень 0, Heading 1, по центру, UPPER, без номера)</w:t>
      </w:r>
    </w:p>
    <w:p>
      <w:pPr>
        <w:pStyle w:val="Heading2"/>
        <w:spacing w:line="360" w:lineRule="auto" w:before="120" w:after="12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 Заголовок первого уровня (уровень 1, Heading 2, с номером)</w:t>
      </w:r>
    </w:p>
    <w:p>
      <w:pPr>
        <w:pStyle w:val="Heading3"/>
        <w:spacing w:line="360" w:lineRule="auto" w:before="120" w:after="12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А.1.1 Заголовок второго уровня (уровень 2, Heading 3, с номером)</w:t>
      </w:r>
    </w:p>
    <w:p>
      <w:pPr>
        <w:pStyle w:val="Heading4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 Заголовок третьего уровня (уровень 3, Heading 4, с номером)</w:t>
      </w:r>
    </w:p>
    <w:p>
      <w:pPr>
        <w:pStyle w:val="Heading5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А.1.1.1.1 Заголовок четвертого уровня (уровень 4, Heading 5, с номером)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Инлайн-разметка: </w:t>
      </w:r>
      <w:r>
        <w:rPr>
          <w:rFonts w:ascii="Times New Roman" w:hAnsi="Times New Roman"/>
          <w:b/>
          <w:sz w:val="28"/>
        </w:rPr>
        <w:t>жирный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тоже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i/>
          <w:sz w:val="28"/>
        </w:rPr>
        <w:t>жирный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u w:val="single"/>
        </w:rPr>
        <w:t>подчёркнутый</w:t>
      </w:r>
      <w:r>
        <w:rPr>
          <w:rFonts w:ascii="Times New Roman" w:hAnsi="Times New Roman"/>
          <w:sz w:val="28"/>
        </w:rPr>
        <w:t>. Неразрывный пробел склеивает «рис. 1» и «10 кг», чтобы их не разорвал перенос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Здесь демонстрируется пример ссылки на рисунок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4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А.1 – Пример подписи к рисунку с </w:t>
      </w:r>
      <w:r>
        <w:rPr>
          <w:rFonts w:ascii="Times New Roman" w:hAnsi="Times New Roman"/>
          <w:i/>
          <w:sz w:val="28"/>
        </w:rPr>
        <w:t>курсивом</w:t>
      </w:r>
      <w:r>
        <w:rPr>
          <w:rFonts w:ascii="Times New Roman" w:hAnsi="Times New Roman"/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На таблице А.1 можно увидеть пример таблицы по умолчанию: автоматически добавляется нумерация столбцов и строк, после нумерации строк идет двойная линия.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А.2 – Подпись с </w:t>
      </w:r>
      <w:r>
        <w:rPr>
          <w:rFonts w:ascii="Times New Roman" w:hAnsi="Times New Roman"/>
          <w:b/>
          <w:sz w:val="28"/>
        </w:rPr>
        <w:t>жирным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i/>
          <w:sz w:val="28"/>
        </w:rPr>
        <w:t>жирным курсивом</w:t>
      </w:r>
      <w:r>
        <w:rPr>
          <w:rFonts w:ascii="Times New Roman" w:hAnsi="Times New Roman"/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</w:tbl>
    <w:p>
      <w:pPr>
        <w:keepNext/>
        <w:pageBreakBefore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120" w:after="12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Формулы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Кинетическая энергия вычисляется по формуле (А.1).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E</m:t>
              </m:r>
              <m:r>
                <m:t>=</m:t>
              </m:r>
              <m:f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А.1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  <w:tab/>
        <w:t>m – масса тела, кг;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ab/>
        <w:t>v – скорость тела, м/с.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Ненумерованная формула идёт просто по центру:</w:t>
      </w:r>
    </w:p>
    <w:p>
      <w:pPr>
        <w:spacing w:line="240" w:lineRule="auto" w:before="280" w:after="280"/>
        <w:ind w:firstLine="0"/>
      </w:pPr>
      <m:oMathPara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Среднеквадратическое отклонение — вложенные радикал, дробь и сумма: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σ</m:t>
              </m:r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t>−</m:t>
                                  </m:r>
                                  <m:acc>
                                    <m:accPr>
                                      <m:chr m:val="̅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den>
                  </m:f>
                </m:e>
              </m:ra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А.2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  <w:tab/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значение отдельного измерения;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ab/>
        <w:t>n – объём выборки.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Матрица, система уравнений и индексы кириллицей:</w:t>
      </w:r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A</m:t>
              </m:r>
              <m:r>
                <m:t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А.3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f</m:t>
              </m:r>
              <m:d>
                <m:dPr>
                  <m:begChr m:val="("/>
                  <m:endChr m:val=")"/>
                </m:dPr>
                <m:e>
                  <m:r>
                    <m:t>x</m:t>
                  </m:r>
                </m:e>
              </m:d>
              <m:r>
                <m:t>=</m:t>
              </m:r>
              <m:d>
                <m:dPr>
                  <m:begChr m:val="{"/>
                  <m:endChr m:val=""/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≤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А.4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sSub>
                <m:e>
                  <m:r>
                    <m:t>K</m:t>
                  </m:r>
                </m:e>
                <m:sub>
                  <m:r>
                    <m:rPr>
                      <m:nor/>
                    </m:rPr>
                    <m:t>сум</m:t>
                  </m:r>
                </m:sub>
              </m:sSub>
              <m:r>
                <m:t>=</m:t>
              </m:r>
              <m:f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х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ы</m:t>
                      </m:r>
                      <m:r>
                        <m:t>х</m:t>
                      </m:r>
                    </m:sub>
                  </m:sSub>
                </m:den>
              </m:f>
              <m:r>
                <m:t>·</m:t>
              </m:r>
              <m:r>
                <m:t>100</m:t>
              </m:r>
              <m:r>
                <m:t>%</m:t>
              </m:r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А.5</m:t>
                  </m:r>
                </m:e>
              </m:d>
            </m:e>
          </m:eqArr>
        </m:oMath>
      </m:oMathPara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открывает новый раздел на новой странице.</w:t>
      </w:r>
    </w:p>
    <w:p>
      <w:r>
        <w:br w:type="page"/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начинается с новой страницы того же раздела.</w:t>
      </w:r>
    </w:p>
    <w:p>
      <w:pPr>
        <w:pStyle w:val="Heading1"/>
        <w:spacing w:line="360" w:lineRule="auto" w:before="120" w:after="12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Настройка стилей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Таблица А.6 – Локальный стиль этой таблицы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cc949dc4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Параметр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Значение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Шрифт ячеек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16 pt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Подпись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жирная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0"/>
        </w:rPr>
        <w:t>После правки factory.style последующий обычный текст идёт шрифтом 10 pt.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А.7 – Глобальный стиль: моноширинный шрифт в ячейках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bbe10661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Код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Описание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A1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первый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B2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второй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  <w:style w:type="paragraph" w:customStyle="1" w:styleId="TableTextcc949dc4">
    <w:name w:val="Table Text cc949dc4"/>
    <w:pPr>
      <w:spacing w:before="0" w:after="0"/>
      <w:ind w:firstLine="0"/>
      <w:jc w:val="center"/>
    </w:pPr>
    <w:rPr>
      <w:rFonts w:ascii="Times New Roman" w:hAnsi="Times New Roman"/>
      <w:sz w:val="32"/>
    </w:rPr>
  </w:style>
  <w:style w:type="paragraph" w:customStyle="1" w:styleId="TableTextbbe10661">
    <w:name w:val="Table Text bbe10661"/>
    <w:pPr>
      <w:spacing w:before="0" w:after="0"/>
      <w:ind w:firstLine="0"/>
      <w:jc w:val="center"/>
    </w:pPr>
    <w:rPr>
      <w:rFonts w:ascii="Courier New" w:hAnsi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