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aps/>
          <w:color w:val="000000"/>
          <w:sz w:val="28"/>
        </w:rPr>
        <w:t>Основная часть (уровень 0, Heading 1, по центру, UPPER, без номера)</w:t>
      </w:r>
    </w:p>
    <w:p>
      <w:pPr>
        <w:pStyle w:val="Heading2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aps w:val="0"/>
          <w:color w:val="000000"/>
          <w:sz w:val="28"/>
        </w:rPr>
        <w:t>А.1 Заголовок первого уровня (уровень 1, Heading 2, с номером)</w:t>
      </w:r>
    </w:p>
    <w:p>
      <w:pPr>
        <w:pStyle w:val="Heading3"/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caps w:val="0"/>
          <w:color w:val="000000"/>
          <w:sz w:val="28"/>
        </w:rPr>
        <w:t>А.1.1 Заголовок второго уровня (уровень 2, Heading 3, с номером)</w:t>
      </w:r>
    </w:p>
    <w:p>
      <w:pPr>
        <w:pStyle w:val="Heading4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aps w:val="0"/>
          <w:color w:val="000000"/>
          <w:sz w:val="28"/>
        </w:rPr>
        <w:t>А.1.1.1 Заголовок третьего уровня (уровень 3, Heading 4, с номером)</w:t>
      </w:r>
    </w:p>
    <w:p>
      <w:pPr>
        <w:pStyle w:val="Heading5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aps w:val="0"/>
          <w:color w:val="000000"/>
          <w:sz w:val="28"/>
        </w:rPr>
        <w:t>А.1.1.1.1 Заголовок четвертого уровня (уровень 4, Heading 5, с номером)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Обычный абзац: Times New Roman 14pt, выравнивание по ширине, межстрочный интервал 1,5, красная строка 1,25 см. Длинный текст нужен, чтобы проверить выравнивание по ширине на нескольких строках — вот ещё немного слов для этого. 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Инлайн-разметка: </w:t>
      </w:r>
      <w:r>
        <w:rPr>
          <w:rFonts w:ascii="Times New Roman" w:hAnsi="Times New Roman"/>
          <w:b/>
          <w:sz w:val="28"/>
        </w:rPr>
        <w:t>жирный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курсив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тоже курсив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i/>
          <w:sz w:val="28"/>
        </w:rPr>
        <w:t>жирный курсив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u w:val="single"/>
        </w:rPr>
        <w:t>подчёркнутый</w:t>
      </w:r>
      <w:r>
        <w:rPr>
          <w:rFonts w:ascii="Times New Roman" w:hAnsi="Times New Roman"/>
          <w:sz w:val="28"/>
        </w:rPr>
        <w:t>. Неразрывный пробел склеивает «рис. 1» и «10 кг», чтобы их не разорвал перенос строки.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Тут демонстрируется пример ссылки на рисунок А.1. Также можно ссылаться на таблицы и формулы.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62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4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А.1 – Пример подписи к рисунку с </w:t>
      </w:r>
      <w:r>
        <w:rPr>
          <w:rFonts w:ascii="Times New Roman" w:hAnsi="Times New Roman"/>
          <w:i/>
          <w:sz w:val="28"/>
        </w:rPr>
        <w:t>курсивом</w:t>
      </w:r>
      <w:r>
        <w:rPr>
          <w:rFonts w:ascii="Times New Roman" w:hAnsi="Times New Roman"/>
          <w:sz w:val="28"/>
        </w:rPr>
        <w:t>. Пример подписи к рисунку. Пример подписи к рисунку. Пример подписи к рисунку. Пример подписи к рисунку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таблице А.1 можно увидеть пример таблицы по умолчанию: автоматически добавляется нумерация столбцов и строк, после нумерации строк идет двойная линия.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 xml:space="preserve">Таблица А.2 – Подпись с </w:t>
      </w:r>
      <w:r>
        <w:rPr>
          <w:rFonts w:ascii="Times New Roman" w:hAnsi="Times New Roman"/>
          <w:b/>
          <w:sz w:val="28"/>
        </w:rPr>
        <w:t>жирным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i/>
          <w:sz w:val="28"/>
        </w:rPr>
        <w:t>жирным курсивом</w:t>
      </w:r>
      <w:r>
        <w:rPr>
          <w:rFonts w:ascii="Times New Roman" w:hAnsi="Times New Roman"/>
          <w:sz w:val="28"/>
        </w:rPr>
        <w:t xml:space="preserve"> (без «№ п/п» и номеров столбцов)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  <w:tblHeader/>
        </w:trPr>
        <w:tc>
          <w:tcPr>
            <w:tcW w:type="dxa" w:w="4844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Имя</w:t>
            </w:r>
          </w:p>
        </w:tc>
        <w:tc>
          <w:tcPr>
            <w:tcW w:type="dxa" w:w="4844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Возраст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pStyle w:val="TableText"/>
            </w:pPr>
            <w:r>
              <w:t>Алиса</w:t>
            </w:r>
          </w:p>
        </w:tc>
        <w:tc>
          <w:tcPr>
            <w:tcW w:type="dxa" w:w="4844"/>
            <w:vAlign w:val="center"/>
          </w:tcPr>
          <w:p>
            <w:pPr>
              <w:pStyle w:val="TableText"/>
            </w:pPr>
            <w:r>
              <w:t>25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pStyle w:val="TableText"/>
            </w:pPr>
            <w:r>
              <w:t>Боб</w:t>
            </w:r>
          </w:p>
        </w:tc>
        <w:tc>
          <w:tcPr>
            <w:tcW w:type="dxa" w:w="4844"/>
            <w:vAlign w:val="center"/>
          </w:tcPr>
          <w:p>
            <w:pPr>
              <w:pStyle w:val="TableText"/>
            </w:pPr>
            <w:r>
              <w:t>30</w:t>
            </w:r>
          </w:p>
        </w:tc>
      </w:tr>
      <w:tr>
        <w:trPr>
          <w:cantSplit/>
        </w:trPr>
        <w:tc>
          <w:tcPr>
            <w:tcW w:type="dxa" w:w="4844"/>
            <w:vAlign w:val="center"/>
          </w:tcPr>
          <w:p>
            <w:pPr>
              <w:pStyle w:val="TableText"/>
            </w:pPr>
            <w:r>
              <w:t>Вера</w:t>
            </w:r>
          </w:p>
        </w:tc>
        <w:tc>
          <w:tcPr>
            <w:tcW w:type="dxa" w:w="4844"/>
            <w:vAlign w:val="center"/>
          </w:tcPr>
          <w:p>
            <w:pPr>
              <w:pStyle w:val="TableText"/>
            </w:pPr>
            <w:r>
              <w:t>22</w:t>
            </w:r>
          </w:p>
        </w:tc>
      </w:tr>
    </w:tbl>
    <w:p>
      <w:pPr>
        <w:keepNext/>
        <w:spacing w:line="24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Таблица А.3 – Без строки-заголовка (show_header=False)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04"/>
        <w:gridCol w:w="4504"/>
      </w:tblGrid>
      <w:tr>
        <w:trPr>
          <w:cantSplit/>
          <w:tblHeader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30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40</w:t>
            </w:r>
          </w:p>
        </w:tc>
      </w:tr>
    </w:tbl>
    <w:p>
      <w:pPr>
        <w:keepNext/>
        <w:spacing w:line="24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Таблица А.4 – Таблица сразу за другой таблицей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04"/>
        <w:gridCol w:w="4504"/>
      </w:tblGrid>
      <w:tr>
        <w:trPr>
          <w:cantSplit/>
          <w:tblHeader/>
        </w:trPr>
        <w:tc>
          <w:tcPr>
            <w:tcW w:type="dxa" w:w="680"/>
            <w:vAlign w:val="center"/>
          </w:tcPr>
          <w:p>
            <w:pPr>
              <w:pStyle w:val="TableText"/>
              <w:keepNext/>
            </w:pPr>
            <w:r>
              <w:t>№ п/п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  <w:keepNext/>
            </w:pPr>
            <w:r>
              <w:t>X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  <w:keepNext/>
            </w:pPr>
            <w:r>
              <w:t>Y</w:t>
            </w:r>
          </w:p>
        </w:tc>
      </w:tr>
      <w:tr>
        <w:trPr>
          <w:cantSplit/>
          <w:tblHeader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0.1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0.3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0.2</w:t>
            </w:r>
          </w:p>
        </w:tc>
        <w:tc>
          <w:tcPr>
            <w:tcW w:type="dxa" w:w="4504"/>
            <w:vAlign w:val="center"/>
          </w:tcPr>
          <w:p>
            <w:pPr>
              <w:pStyle w:val="TableText"/>
            </w:pPr>
            <w:r>
              <w:t>0.4</w:t>
            </w:r>
          </w:p>
        </w:tc>
      </w:tr>
    </w:tbl>
    <w:p>
      <w:pPr>
        <w:keepNext/>
        <w:spacing w:line="24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Таблица А.5 – Себестоимость с переносом на следующую страницу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01"/>
        <w:gridCol w:w="1501"/>
        <w:gridCol w:w="1501"/>
        <w:gridCol w:w="1501"/>
        <w:gridCol w:w="1501"/>
        <w:gridCol w:w="1501"/>
      </w:tblGrid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keepNext/>
            </w:pPr>
            <w:r>
              <w:t>№ п/п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Позиция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Выручка от реализации, тыс.руб.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Материальные затраты, план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Материальные затраты, факт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Расходы на оплату труда, план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Расходы на оплату труда, факт</w:t>
            </w:r>
          </w:p>
        </w:tc>
      </w:tr>
      <w:tr>
        <w:trPr>
          <w:cantSplit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4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5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6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8741.0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322.20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151.80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221.82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223.60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8641.0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312.20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161.80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216.82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228.60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8541.0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302.20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171.80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211.82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233.60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8441.0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292.20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181.80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206.82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238.60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8341.0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282.20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191.80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201.82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243.60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8241.0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272.20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201.80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196.82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248.60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7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8141.0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262.20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211.80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191.82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253.60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8041.0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252.20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221.80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186.82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258.60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7941.0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242.20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231.80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181.82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263.60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7841.0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232.20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241.80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176.82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268.60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7741.0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222.20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251.80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171.82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273.60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7641.0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212.20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261.80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166.82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278.60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13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7541.0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202.20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271.80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161.82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283.60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7441.0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192.20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281.80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156.82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288.60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7341.0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182.20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291.80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151.82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293.60</w:t>
            </w:r>
          </w:p>
        </w:tc>
      </w:tr>
    </w:tbl>
    <w:p>
      <w:pPr>
        <w:keepNext/>
        <w:pageBreakBefore/>
        <w:spacing w:line="24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Продолжение таблицы А.5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01"/>
        <w:gridCol w:w="1501"/>
        <w:gridCol w:w="1501"/>
        <w:gridCol w:w="1501"/>
        <w:gridCol w:w="1501"/>
        <w:gridCol w:w="1501"/>
      </w:tblGrid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  <w:keepNext/>
            </w:pPr>
            <w:r>
              <w:t>№ п/п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Позиция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Выручка от реализации, тыс.руб.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Материальные затраты, план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Материальные затраты, факт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Расходы на оплату труда, план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  <w:keepNext/>
            </w:pPr>
            <w:r>
              <w:t>Расходы на оплату труда, факт</w:t>
            </w:r>
          </w:p>
        </w:tc>
      </w:tr>
      <w:tr>
        <w:trPr>
          <w:cantSplit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1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2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3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4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5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6</w:t>
            </w:r>
          </w:p>
        </w:tc>
        <w:tc>
          <w:tcPr>
            <w:tcW w:type="dxa" w:w="1501"/>
            <w:tcBorders>
              <w:bottom w:val="double" w:sz="4" w:space="0" w:color="auto"/>
            </w:tcBorders>
            <w:vAlign w:val="center"/>
          </w:tcPr>
          <w:p>
            <w:pPr>
              <w:pStyle w:val="TableText"/>
              <w:keepNext/>
            </w:pPr>
            <w:r>
              <w:t>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7241.0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172.20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301.80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146.82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298.60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17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7141.0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162.20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311.80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141.82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303.60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7041.0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152.20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321.80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136.82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308.60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19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6941.0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142.20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331.80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131.82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313.60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6841.0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132.20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341.80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126.82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318.60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21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6741.0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122.20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351.80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121.82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323.60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6641.0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112.20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361.80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116.82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328.60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23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6541.0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102.20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371.80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111.82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333.60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24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6441.0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92.20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381.80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106.82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338.60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25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6341.0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391.80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101.82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343.60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26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6241.0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401.80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96.82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348.60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27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6141.0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411.80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91.82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353.60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6041.0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421.80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358.60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29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5941.0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431.80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81.82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363.60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5841.0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441.80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368.60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31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5741.0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451.80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71.82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373.60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5641.0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461.80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378.60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33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5541.0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2.20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471.80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383.60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34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5441.0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481.80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388.60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35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5341.0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491.80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393.60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36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5241.0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-27.80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501.80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398.60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37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5141.0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-37.80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511.80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403.60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5041.0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-47.80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521.80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408.60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39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4941.0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-57.80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531.80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413.60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4841.0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-67.80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541.80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418.60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41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4741.0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-77.80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551.80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21.82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423.60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4641.0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-87.80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561.80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428.60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43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4541.0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-97.80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571.80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433.60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44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ПГС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4441.0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-107.80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581.80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438.60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45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Щебень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4341.0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-117.80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591.80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1.82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443.60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46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ЖБИ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4241.0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-127.80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601.80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-3.18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448.60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47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Цемент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4141.0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-137.80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611.80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-8.18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453.60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Песок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4041.0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-147.80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621.80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-13.18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458.60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49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ПАВ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3941.0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-157.80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631.80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-18.18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463.60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t>50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Бетон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3841.0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-167.80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641.80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-23.18</w:t>
            </w:r>
          </w:p>
        </w:tc>
        <w:tc>
          <w:tcPr>
            <w:tcW w:type="dxa" w:w="1501"/>
            <w:vAlign w:val="center"/>
          </w:tcPr>
          <w:p>
            <w:pPr>
              <w:pStyle w:val="TableText"/>
            </w:pPr>
            <w:r>
              <w:t>468.60</w:t>
            </w:r>
          </w:p>
        </w:tc>
      </w:tr>
    </w:tbl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aps/>
          <w:color w:val="000000"/>
          <w:sz w:val="28"/>
        </w:rPr>
        <w:t>Формулы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Кинетическая энергия вычисляется по формуле (А.1).</w:t>
      </w:r>
    </w:p>
    <w:p>
      <w:pPr>
        <w:keepNext/>
        <w:spacing w:line="240" w:lineRule="auto" w:before="280" w:after="0"/>
        <w:ind w:firstLine="0"/>
      </w:pPr>
      <m:oMathPara>
        <m:oMath>
          <m:eqArr>
            <m:eqArrPr>
              <m:maxDist m:val="1"/>
            </m:eqArrPr>
            <m:e>
              <m:r>
                <m:t>E</m:t>
              </m:r>
              <m:r>
                <m:t>=</m:t>
              </m:r>
              <m:f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 xml:space="preserve"> #</m:t>
              </m:r>
              <m:d>
                <m:e>
                  <m:r>
                    <m:rPr>
                      <m:nor/>
                    </m:rPr>
                    <m:t xml:space="preserve">А.1</m:t>
                  </m:r>
                </m:e>
              </m:d>
            </m:e>
          </m:eqArr>
        </m:oMath>
      </m:oMathPara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sz w:val="28"/>
        </w:rPr>
        <w:t>где m – масса тела, кг;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sz w:val="28"/>
        </w:rPr>
        <w:t>v – скорость тела, м/с.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Ненумерованная формула идёт просто по центру:</w:t>
      </w:r>
    </w:p>
    <w:p>
      <w:pPr>
        <w:spacing w:line="240" w:lineRule="auto" w:before="280" w:after="280"/>
        <w:ind w:firstLine="0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Среднеквадратическое отклонение — вложенные радикал, дробь и сумма:</w:t>
      </w:r>
    </w:p>
    <w:p>
      <w:pPr>
        <w:keepNext/>
        <w:spacing w:line="240" w:lineRule="auto" w:before="280" w:after="0"/>
        <w:ind w:firstLine="0"/>
      </w:pPr>
      <m:oMathPara>
        <m:oMath>
          <m:eqArr>
            <m:eqArrPr>
              <m:maxDist m:val="1"/>
            </m:eqArrPr>
            <m:e>
              <m:r>
                <m:t>σ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f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t>−</m:t>
                                  </m:r>
                                  <m:acc>
                                    <m:accPr>
                                      <m:chr m:val="̅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m:t>n</m:t>
                      </m:r>
                      <m:r>
                        <m:t>−</m:t>
                      </m:r>
                      <m:r>
                        <m:t>1</m:t>
                      </m:r>
                    </m:den>
                  </m:f>
                </m:e>
              </m:rad>
              <m:r>
                <m:t xml:space="preserve"> #</m:t>
              </m:r>
              <m:d>
                <m:e>
                  <m:r>
                    <m:rPr>
                      <m:nor/>
                    </m:rPr>
                    <m:t xml:space="preserve">А.2</m:t>
                  </m:r>
                </m:e>
              </m:d>
            </m:e>
          </m:eqArr>
        </m:oMath>
      </m:oMathPara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значение отдельного измерения;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sz w:val="28"/>
        </w:rPr>
        <w:t>n – объём выборки.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Матрица, система уравнений и индексы кириллицей:</w:t>
      </w:r>
    </w:p>
    <w:p>
      <w:pPr>
        <w:spacing w:line="240" w:lineRule="auto" w:before="280" w:after="280"/>
        <w:ind w:firstLine="0"/>
      </w:pPr>
      <m:oMathPara>
        <m:oMath>
          <m:eqArr>
            <m:eqArrPr>
              <m:maxDist m:val="1"/>
            </m:eqArrPr>
            <m:e>
              <m:r>
                <m:t>A</m:t>
              </m:r>
              <m:r>
                <m:t>=</m:t>
              </m:r>
              <m:d>
                <m:dPr>
                  <m:begChr m:val="("/>
                  <m:endChr m:val=")"/>
                </m:dPr>
                <m:e>
                  <m:m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mr>
                  </m:m>
                </m:e>
              </m:d>
              <m:r>
                <m:t xml:space="preserve"> #</m:t>
              </m:r>
              <m:d>
                <m:e>
                  <m:r>
                    <m:rPr>
                      <m:nor/>
                    </m:rPr>
                    <m:t xml:space="preserve">А.3</m:t>
                  </m:r>
                </m:e>
              </m:d>
            </m:e>
          </m:eqArr>
        </m:oMath>
      </m:oMathPara>
    </w:p>
    <w:p>
      <w:pPr>
        <w:spacing w:line="240" w:lineRule="auto" w:before="280" w:after="280"/>
        <w:ind w:firstLine="0"/>
      </w:pPr>
      <m:oMathPara>
        <m:oMath>
          <m:eqArr>
            <m:eqArrPr>
              <m:maxDist m:val="1"/>
            </m:eqArrPr>
            <m:e>
              <m:r>
                <m:t>f</m:t>
              </m:r>
              <m:d>
                <m:dPr>
                  <m:begChr m:val="("/>
                  <m:endChr m:val=")"/>
                </m:dPr>
                <m:e>
                  <m:r>
                    <m:t>x</m:t>
                  </m:r>
                </m:e>
              </m:d>
              <m:r>
                <m:t>=</m:t>
              </m:r>
              <m:d>
                <m:dPr>
                  <m:begChr m:val="{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t>&gt;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t>≤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 xml:space="preserve"> #</m:t>
              </m:r>
              <m:d>
                <m:e>
                  <m:r>
                    <m:rPr>
                      <m:nor/>
                    </m:rPr>
                    <m:t xml:space="preserve">А.4</m:t>
                  </m:r>
                </m:e>
              </m:d>
            </m:e>
          </m:eqArr>
        </m:oMath>
      </m:oMathPara>
    </w:p>
    <w:p>
      <w:pPr>
        <w:spacing w:line="240" w:lineRule="auto" w:before="280" w:after="280"/>
        <w:ind w:firstLine="0"/>
      </w:pPr>
      <m:oMathPara>
        <m:oMath>
          <m:eqArr>
            <m:eqArrPr>
              <m:maxDist m:val="1"/>
            </m:eqArrPr>
            <m:e>
              <m:sSub>
                <m:e>
                  <m:r>
                    <m:t>K</m:t>
                  </m:r>
                </m:e>
                <m:sub>
                  <m:r>
                    <m:rPr>
                      <m:nor/>
                    </m:rPr>
                    <m:t>сум</m:t>
                  </m:r>
                </m:sub>
              </m:sSub>
              <m:r>
                <m:t>=</m:t>
              </m:r>
              <m:f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в</m:t>
                      </m:r>
                      <m:r>
                        <m:t>х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в</m:t>
                      </m:r>
                      <m:r>
                        <m:t>ы</m:t>
                      </m:r>
                      <m:r>
                        <m:t>х</m:t>
                      </m:r>
                    </m:sub>
                  </m:sSub>
                </m:den>
              </m:f>
              <m:r>
                <m:t>·</m:t>
              </m:r>
              <m:r>
                <m:t>100</m:t>
              </m:r>
              <m:r>
                <m:t>%</m:t>
              </m:r>
              <m:r>
                <m:t xml:space="preserve"> #</m:t>
              </m:r>
              <m:d>
                <m:e>
                  <m:r>
                    <m:rPr>
                      <m:nor/>
                    </m:rPr>
                    <m:t xml:space="preserve">А.5</m:t>
                  </m:r>
                </m:e>
              </m:d>
            </m:e>
          </m:eqArr>
        </m:oMath>
      </m:oMathPara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Этот абзац открывает новый раздел на новой странице.</w:t>
      </w:r>
    </w:p>
    <w:p>
      <w:r>
        <w:br w:type="pag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Этот абзац начинается с новой страницы того же раздела.</w:t>
      </w:r>
    </w:p>
    <w:p>
      <w:pPr>
        <w:pStyle w:val="Heading1"/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aps/>
          <w:color w:val="000000"/>
          <w:sz w:val="28"/>
        </w:rPr>
        <w:t>Настройка стилей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Таблица А.6 – Локальный стиль этой таблицы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04"/>
        <w:gridCol w:w="4504"/>
      </w:tblGrid>
      <w:tr>
        <w:trPr>
          <w:cantSplit/>
          <w:tblHeader/>
        </w:trPr>
        <w:tc>
          <w:tcPr>
            <w:tcW w:type="dxa" w:w="680"/>
            <w:vAlign w:val="center"/>
          </w:tcPr>
          <w:p>
            <w:pPr>
              <w:pStyle w:val="TableTextcc949dc4"/>
              <w:keepNext/>
            </w:pPr>
            <w:r>
              <w:t>№ п/п</w:t>
            </w:r>
          </w:p>
        </w:tc>
        <w:tc>
          <w:tcPr>
            <w:tcW w:type="dxa" w:w="4504"/>
            <w:vAlign w:val="center"/>
          </w:tcPr>
          <w:p>
            <w:pPr>
              <w:pStyle w:val="TableTextcc949dc4"/>
              <w:keepNext/>
            </w:pPr>
            <w:r>
              <w:t>Параметр</w:t>
            </w:r>
          </w:p>
        </w:tc>
        <w:tc>
          <w:tcPr>
            <w:tcW w:type="dxa" w:w="4504"/>
            <w:vAlign w:val="center"/>
          </w:tcPr>
          <w:p>
            <w:pPr>
              <w:pStyle w:val="TableTextcc949dc4"/>
              <w:keepNext/>
            </w:pPr>
            <w:r>
              <w:t>Значение</w:t>
            </w:r>
          </w:p>
        </w:tc>
      </w:tr>
      <w:tr>
        <w:trPr>
          <w:cantSplit/>
          <w:tblHeader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cc949dc4"/>
              <w:keepNext/>
            </w:pPr>
            <w:r>
              <w:t>1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cc949dc4"/>
              <w:keepNext/>
            </w:pPr>
            <w:r>
              <w:t>2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cc949dc4"/>
              <w:keepNext/>
            </w:pPr>
            <w:r>
              <w:t>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cc949dc4"/>
            </w:pPr>
            <w:r>
              <w:t>1</w:t>
            </w:r>
          </w:p>
        </w:tc>
        <w:tc>
          <w:tcPr>
            <w:tcW w:type="dxa" w:w="4504"/>
            <w:vAlign w:val="center"/>
          </w:tcPr>
          <w:p>
            <w:pPr>
              <w:pStyle w:val="TableTextcc949dc4"/>
            </w:pPr>
            <w:r>
              <w:t>Шрифт ячеек</w:t>
            </w:r>
          </w:p>
        </w:tc>
        <w:tc>
          <w:tcPr>
            <w:tcW w:type="dxa" w:w="4504"/>
            <w:vAlign w:val="center"/>
          </w:tcPr>
          <w:p>
            <w:pPr>
              <w:pStyle w:val="TableTextcc949dc4"/>
            </w:pPr>
            <w:r>
              <w:t>16 pt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cc949dc4"/>
            </w:pPr>
            <w:r>
              <w:t>2</w:t>
            </w:r>
          </w:p>
        </w:tc>
        <w:tc>
          <w:tcPr>
            <w:tcW w:type="dxa" w:w="4504"/>
            <w:vAlign w:val="center"/>
          </w:tcPr>
          <w:p>
            <w:pPr>
              <w:pStyle w:val="TableTextcc949dc4"/>
            </w:pPr>
            <w:r>
              <w:t>Подпись</w:t>
            </w:r>
          </w:p>
        </w:tc>
        <w:tc>
          <w:tcPr>
            <w:tcW w:type="dxa" w:w="4504"/>
            <w:vAlign w:val="center"/>
          </w:tcPr>
          <w:p>
            <w:pPr>
              <w:pStyle w:val="TableTextcc949dc4"/>
            </w:pPr>
            <w:r>
              <w:t>жирная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0"/>
        </w:rPr>
        <w:t>После правки factory.style последующий обычный текст идёт шрифтом 10 pt.</w:t>
      </w:r>
    </w:p>
    <w:p>
      <w:pPr>
        <w:keepNext/>
        <w:spacing w:line="24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Таблица А.7 – Глобальный стиль: моноширинный шрифт в ячейках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04"/>
        <w:gridCol w:w="4504"/>
      </w:tblGrid>
      <w:tr>
        <w:trPr>
          <w:cantSplit/>
          <w:tblHeader/>
        </w:trPr>
        <w:tc>
          <w:tcPr>
            <w:tcW w:type="dxa" w:w="680"/>
            <w:vAlign w:val="center"/>
          </w:tcPr>
          <w:p>
            <w:pPr>
              <w:pStyle w:val="TableTextbbe10661"/>
              <w:keepNext/>
            </w:pPr>
            <w:r>
              <w:t>№ п/п</w:t>
            </w:r>
          </w:p>
        </w:tc>
        <w:tc>
          <w:tcPr>
            <w:tcW w:type="dxa" w:w="4504"/>
            <w:vAlign w:val="center"/>
          </w:tcPr>
          <w:p>
            <w:pPr>
              <w:pStyle w:val="TableTextbbe10661"/>
              <w:keepNext/>
            </w:pPr>
            <w:r>
              <w:t>Код</w:t>
            </w:r>
          </w:p>
        </w:tc>
        <w:tc>
          <w:tcPr>
            <w:tcW w:type="dxa" w:w="4504"/>
            <w:vAlign w:val="center"/>
          </w:tcPr>
          <w:p>
            <w:pPr>
              <w:pStyle w:val="TableTextbbe10661"/>
              <w:keepNext/>
            </w:pPr>
            <w:r>
              <w:t>Описание</w:t>
            </w:r>
          </w:p>
        </w:tc>
      </w:tr>
      <w:tr>
        <w:trPr>
          <w:cantSplit/>
          <w:tblHeader/>
        </w:trPr>
        <w:tc>
          <w:tcPr>
            <w:tcW w:type="dxa" w:w="680"/>
            <w:tcBorders>
              <w:bottom w:val="double" w:sz="4" w:space="0" w:color="auto"/>
            </w:tcBorders>
            <w:vAlign w:val="center"/>
          </w:tcPr>
          <w:p>
            <w:pPr>
              <w:pStyle w:val="TableTextbbe10661"/>
              <w:keepNext/>
            </w:pPr>
            <w:r>
              <w:t>1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bbe10661"/>
              <w:keepNext/>
            </w:pPr>
            <w:r>
              <w:t>2</w:t>
            </w:r>
          </w:p>
        </w:tc>
        <w:tc>
          <w:tcPr>
            <w:tcW w:type="dxa" w:w="4504"/>
            <w:tcBorders>
              <w:bottom w:val="double" w:sz="4" w:space="0" w:color="auto"/>
            </w:tcBorders>
            <w:vAlign w:val="center"/>
          </w:tcPr>
          <w:p>
            <w:pPr>
              <w:pStyle w:val="TableTextbbe10661"/>
              <w:keepNext/>
            </w:pPr>
            <w:r>
              <w:t>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bbe10661"/>
            </w:pPr>
            <w:r>
              <w:t>1</w:t>
            </w:r>
          </w:p>
        </w:tc>
        <w:tc>
          <w:tcPr>
            <w:tcW w:type="dxa" w:w="4504"/>
            <w:vAlign w:val="center"/>
          </w:tcPr>
          <w:p>
            <w:pPr>
              <w:pStyle w:val="TableTextbbe10661"/>
            </w:pPr>
            <w:r>
              <w:t>A1</w:t>
            </w:r>
          </w:p>
        </w:tc>
        <w:tc>
          <w:tcPr>
            <w:tcW w:type="dxa" w:w="4504"/>
            <w:vAlign w:val="center"/>
          </w:tcPr>
          <w:p>
            <w:pPr>
              <w:pStyle w:val="TableTextbbe10661"/>
            </w:pPr>
            <w:r>
              <w:t>первый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bbe10661"/>
            </w:pPr>
            <w:r>
              <w:t>2</w:t>
            </w:r>
          </w:p>
        </w:tc>
        <w:tc>
          <w:tcPr>
            <w:tcW w:type="dxa" w:w="4504"/>
            <w:vAlign w:val="center"/>
          </w:tcPr>
          <w:p>
            <w:pPr>
              <w:pStyle w:val="TableTextbbe10661"/>
            </w:pPr>
            <w:r>
              <w:t>B2</w:t>
            </w:r>
          </w:p>
        </w:tc>
        <w:tc>
          <w:tcPr>
            <w:tcW w:type="dxa" w:w="4504"/>
            <w:vAlign w:val="center"/>
          </w:tcPr>
          <w:p>
            <w:pPr>
              <w:pStyle w:val="TableTextbbe10661"/>
            </w:pPr>
            <w:r>
              <w:t>второй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="Times New Roman" w:hAnsi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1"/>
    </w:pPr>
    <w:rPr>
      <w:rFonts w:ascii="Times New Roman" w:hAnsi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2"/>
    </w:pPr>
    <w:rPr>
      <w:rFonts w:ascii="Times New Roman" w:hAnsi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3"/>
    </w:pPr>
    <w:rPr>
      <w:rFonts w:ascii="Times New Roman" w:hAnsi="Times New Roman"/>
      <w:b w:val="0"/>
      <w:bCs/>
      <w:i w:val="0"/>
      <w:iCs/>
      <w:caps w:val="0"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4"/>
    </w:pPr>
    <w:rPr>
      <w:rFonts w:ascii="Times New Roman" w:hAnsi="Times New Roman"/>
      <w:b w:val="0"/>
      <w:i w:val="0"/>
      <w:caps w:val="0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/>
      <w:ind w:firstLine="0"/>
      <w:jc w:val="center"/>
    </w:pPr>
    <w:rPr>
      <w:rFonts w:ascii="Times New Roman" w:hAnsi="Times New Roman"/>
      <w:sz w:val="24"/>
    </w:rPr>
  </w:style>
  <w:style w:type="paragraph" w:customStyle="1" w:styleId="TableTextcc949dc4">
    <w:name w:val="Table Text cc949dc4"/>
    <w:pPr>
      <w:spacing w:before="0" w:after="0"/>
      <w:ind w:firstLine="0"/>
      <w:jc w:val="center"/>
    </w:pPr>
    <w:rPr>
      <w:rFonts w:ascii="Times New Roman" w:hAnsi="Times New Roman"/>
      <w:sz w:val="32"/>
    </w:rPr>
  </w:style>
  <w:style w:type="paragraph" w:customStyle="1" w:styleId="TableTextbbe10661">
    <w:name w:val="Table Text bbe10661"/>
    <w:pPr>
      <w:spacing w:before="0" w:after="0"/>
      <w:ind w:firstLine="0"/>
      <w:jc w:val="center"/>
    </w:pPr>
    <w:rPr>
      <w:rFonts w:ascii="Courier New" w:hAnsi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