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Основная часть (уровень 0, Heading 1, по центру, UPPER, без номера)</w:t>
      </w:r>
    </w:p>
    <w:p>
      <w:pPr>
        <w:pStyle w:val="Heading2"/>
      </w:pPr>
      <w:r>
        <w:t>А.1 Заголовок первого уровня (уровень 1, Heading 2, с номером)</w:t>
      </w:r>
    </w:p>
    <w:p>
      <w:pPr>
        <w:pStyle w:val="Heading3"/>
      </w:pPr>
      <w:r>
        <w:t>А.1.1 Заголовок второго уровня (уровень 2, Heading 3, с номером)</w:t>
      </w:r>
    </w:p>
    <w:p>
      <w:pPr>
        <w:pStyle w:val="Heading4"/>
      </w:pPr>
      <w:r>
        <w:t>А.1.1.1 Заголовок третьего уровня (уровень 3, Heading 4, с номером)</w:t>
      </w:r>
    </w:p>
    <w:p>
      <w:pPr>
        <w:pStyle w:val="Heading5"/>
      </w:pPr>
      <w:r>
        <w:t>А.1.1.1.1 Заголовок четвертого уровня (уровень 4, Heading 5, с номером)</w:t>
      </w:r>
    </w:p>
    <w:p>
      <w: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/>
    <w:p>
      <w:r>
        <w:t xml:space="preserve">Инлайн-разметка: </w:t>
      </w:r>
      <w:r>
        <w:rPr>
          <w:b/>
        </w:rPr>
        <w:t>жирный</w:t>
      </w:r>
      <w:r>
        <w:t xml:space="preserve">, </w:t>
      </w:r>
      <w:r>
        <w:rPr>
          <w:i/>
        </w:rPr>
        <w:t>курсив</w:t>
      </w:r>
      <w:r>
        <w:t xml:space="preserve">, </w:t>
      </w:r>
      <w:r>
        <w:rPr>
          <w:i/>
        </w:rPr>
        <w:t>тоже курсив</w:t>
      </w:r>
      <w:r>
        <w:t xml:space="preserve">, </w:t>
      </w:r>
      <w:r>
        <w:rPr>
          <w:b/>
          <w:i/>
        </w:rPr>
        <w:t>жирный курсив</w:t>
      </w:r>
      <w:r>
        <w:t xml:space="preserve">, </w:t>
      </w:r>
      <w:r>
        <w:rPr>
          <w:u w:val="single"/>
        </w:rPr>
        <w:t>подчёркнутый</w:t>
      </w:r>
      <w:r>
        <w:t>. Неразрывный пробел склеивает «рис. 1» и «10 кг», чтобы их не разорвал перенос строки.</w:t>
      </w:r>
    </w:p>
    <w:p>
      <w:r>
        <w:t>На рисунке А.1.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8"/>
        </w:rPr>
        <w:t xml:space="preserve">Рисунок А.1 – Пример подписи к рисунку с </w:t>
      </w:r>
      <w:r>
        <w:rPr>
          <w:i/>
          <w:sz w:val="28"/>
        </w:rPr>
        <w:t>курсивом</w:t>
      </w:r>
      <w:r>
        <w:rPr>
          <w:sz w:val="28"/>
        </w:rPr>
        <w:t>. Пример подписи к рисунку. Пример подписи к рисунку. Пример подписи к рисунку. Пример подписи к рисунку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А.1 – Таблица по умолчанию: со столбцом «№ п/п» и строкой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003"/>
        <w:gridCol w:w="3003"/>
        <w:gridCol w:w="3003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А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Б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Текст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alpha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2.50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beta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3.33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gamma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 xml:space="preserve">Таблица А.2 – Подпись с </w:t>
      </w:r>
      <w:r>
        <w:rPr>
          <w:b/>
          <w:sz w:val="28"/>
        </w:rPr>
        <w:t>жирным</w:t>
      </w:r>
      <w:r>
        <w:rPr>
          <w:sz w:val="28"/>
        </w:rPr>
        <w:t xml:space="preserve"> и </w:t>
      </w:r>
      <w:r>
        <w:rPr>
          <w:b/>
          <w:i/>
          <w:sz w:val="28"/>
        </w:rPr>
        <w:t>жирным курсивом</w:t>
      </w:r>
      <w:r>
        <w:rPr>
          <w:sz w:val="28"/>
        </w:rPr>
        <w:t xml:space="preserve"> (без «№ п/п» и номеров столбцов)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Имя</w:t>
            </w:r>
          </w:p>
        </w:tc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22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40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А.4 – Таблица сразу за другой таблицей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X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0.4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298.60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468.60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r>
        <w:t>Этот абзац открывает новый раздел на новой странице.</w:t>
      </w:r>
    </w:p>
    <w:p>
      <w:r>
        <w:br w:type="page"/>
      </w:r>
    </w:p>
    <w:p>
      <w:r>
        <w:t>Этот абзац начинается с новой страницы того же раздела.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3"/>
    </w:pPr>
    <w:rPr>
      <w:rFonts w:ascii="Times New Roman" w:hAnsi="Times New Roman"/>
      <w:b w:val="0"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4"/>
    </w:pPr>
    <w:rPr>
      <w:rFonts w:ascii="Times New Roman" w:hAnsi="Times New Roman"/>
      <w:b w:val="0"/>
      <w:i w:val="0"/>
      <w:caps w:val="0"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