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Основная часть (уровень 0, Heading 1, по центру, UPPER, без номера)</w:t>
      </w:r>
    </w:p>
    <w:p>
      <w:pPr>
        <w:pStyle w:val="Heading2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 Заголовок первого уровня (уровень 1, Heading 2, с номером)</w:t>
      </w:r>
    </w:p>
    <w:p>
      <w:pPr>
        <w:pStyle w:val="Heading3"/>
        <w:spacing w:line="360" w:lineRule="auto" w:before="0" w:after="0"/>
        <w:ind w:firstLine="709"/>
        <w:jc w:val="both"/>
      </w:pPr>
      <w:r>
        <w:rPr>
          <w:rFonts w:ascii="Times New Roman" w:hAnsi="Times New Roman"/>
          <w:b/>
          <w:i w:val="0"/>
          <w:caps w:val="0"/>
          <w:color w:val="000000"/>
          <w:sz w:val="28"/>
        </w:rPr>
        <w:t>А.1.1 Заголовок второго уровня (уровень 2, Heading 3, с номером)</w:t>
      </w:r>
    </w:p>
    <w:p>
      <w:pPr>
        <w:pStyle w:val="Heading4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 Заголовок третьего уровня (уровень 3, Heading 4, с номером)</w:t>
      </w:r>
    </w:p>
    <w:p>
      <w:pPr>
        <w:pStyle w:val="Heading5"/>
        <w:spacing w:line="360" w:lineRule="auto" w:before="0" w:after="0"/>
        <w:ind w:firstLine="709"/>
        <w:jc w:val="both"/>
      </w:pPr>
      <w:r>
        <w:rPr>
          <w:rFonts w:ascii="Times New Roman" w:hAnsi="Times New Roman"/>
          <w:b w:val="0"/>
          <w:i w:val="0"/>
          <w:caps w:val="0"/>
          <w:color w:val="000000"/>
          <w:sz w:val="28"/>
        </w:rPr>
        <w:t>А.1.1.1.1 Заголовок четвертого уровня (уровень 4, Heading 5, с номером)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Обычный абзац: Times New Roman 14pt, выравнивание по ширине, межстрочный интервал 1,5, красная строка 1,25 см. Длинный текст нужен, чтобы проверить выравнивание по ширине на нескольких строках — вот ещё немного слов для этого. 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 xml:space="preserve">Инлайн-разметка: </w:t>
      </w:r>
      <w:r>
        <w:rPr>
          <w:rFonts w:ascii="Times New Roman" w:hAnsi="Times New Roman"/>
          <w:b/>
          <w:sz w:val="28"/>
        </w:rPr>
        <w:t>жирный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i/>
          <w:sz w:val="28"/>
        </w:rPr>
        <w:t>тоже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b/>
          <w:i/>
          <w:sz w:val="28"/>
        </w:rPr>
        <w:t>жирный курсив</w:t>
      </w:r>
      <w:r>
        <w:rPr>
          <w:rFonts w:ascii="Times New Roman" w:hAnsi="Times New Roman"/>
          <w:sz w:val="28"/>
        </w:rPr>
        <w:t xml:space="preserve">, </w:t>
      </w:r>
      <w:r>
        <w:rPr>
          <w:rFonts w:ascii="Times New Roman" w:hAnsi="Times New Roman"/>
          <w:sz w:val="28"/>
          <w:u w:val="single"/>
        </w:rPr>
        <w:t>подчёркнутый</w:t>
      </w:r>
      <w:r>
        <w:rPr>
          <w:rFonts w:ascii="Times New Roman" w:hAnsi="Times New Roman"/>
          <w:sz w:val="28"/>
        </w:rPr>
        <w:t>. Неразрывный пробел склеивает «рис. 1» и «10 кг», чтобы их не разорвал перенос строки.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Тут демонстрируется пример ссылки на рисунок А.1. Также можно ссылаться на таблицы и формулы.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062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062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240"/>
        <w:ind w:firstLine="0"/>
        <w:jc w:val="center"/>
      </w:pPr>
      <w:r>
        <w:rPr>
          <w:rFonts w:ascii="Times New Roman" w:hAnsi="Times New Roman"/>
          <w:sz w:val="28"/>
        </w:rPr>
        <w:t xml:space="preserve">Рисунок А.1 – Пример подписи к рисунку с </w:t>
      </w:r>
      <w:r>
        <w:rPr>
          <w:rFonts w:ascii="Times New Roman" w:hAnsi="Times New Roman"/>
          <w:i/>
          <w:sz w:val="28"/>
        </w:rPr>
        <w:t>курсивом</w:t>
      </w:r>
      <w:r>
        <w:rPr>
          <w:rFonts w:ascii="Times New Roman" w:hAnsi="Times New Roman"/>
          <w:sz w:val="28"/>
        </w:rPr>
        <w:t>. Пример подписи к рисунку. Пример подписи к рисунку. Пример подписи к рисунку. Пример подписи к рисунку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На таблице А.1 можно увидеть пример таблицы по умолчанию: автоматически добавляется нумерация столбцов и строк, после нумерации строк идет двойная линия.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 xml:space="preserve">Таблица А.2 – Подпись с </w:t>
      </w:r>
      <w:r>
        <w:rPr>
          <w:rFonts w:ascii="Times New Roman" w:hAnsi="Times New Roman"/>
          <w:b/>
          <w:sz w:val="28"/>
        </w:rPr>
        <w:t>жирным</w:t>
      </w:r>
      <w:r>
        <w:rPr>
          <w:rFonts w:ascii="Times New Roman" w:hAnsi="Times New Roman"/>
          <w:sz w:val="28"/>
        </w:rPr>
        <w:t xml:space="preserve"> и </w:t>
      </w:r>
      <w:r>
        <w:rPr>
          <w:rFonts w:ascii="Times New Roman" w:hAnsi="Times New Roman"/>
          <w:b/>
          <w:i/>
          <w:sz w:val="28"/>
        </w:rPr>
        <w:t>жирным курсивом</w:t>
      </w:r>
      <w:r>
        <w:rPr>
          <w:rFonts w:ascii="Times New Roman" w:hAnsi="Times New Roman"/>
          <w:sz w:val="28"/>
        </w:rPr>
        <w:t xml:space="preserve"> (без «№ п/п» и номеров столбцов)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  <w:tblHeader/>
        </w:trPr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Имя</w:t>
            </w:r>
          </w:p>
        </w:tc>
        <w:tc>
          <w:tcPr>
            <w:tcW w:type="dxa" w:w="484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Возраст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Алиса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25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Боб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4844"/>
            <w:vAlign w:val="center"/>
          </w:tcPr>
          <w:p>
            <w:pPr>
              <w:pStyle w:val="TableText"/>
            </w:pPr>
            <w:r>
              <w:t>Вера</w:t>
            </w:r>
          </w:p>
        </w:tc>
        <w:tc>
          <w:tcPr>
            <w:tcW w:type="dxa" w:w="4844"/>
            <w:vAlign w:val="center"/>
          </w:tcPr>
          <w:p>
            <w:pPr>
              <w:pStyle w:val="TableText"/>
            </w:pPr>
            <w:r>
              <w:t>22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А.3 – Без строки-заголовка (show_header=False)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30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40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А.4 – Таблица сразу за другой таблицей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X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  <w:keepNext/>
            </w:pPr>
            <w:r>
              <w:t>Y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0.1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0.2</w:t>
            </w:r>
          </w:p>
        </w:tc>
        <w:tc>
          <w:tcPr>
            <w:tcW w:type="dxa" w:w="4504"/>
            <w:vAlign w:val="center"/>
          </w:tcPr>
          <w:p>
            <w:pPr>
              <w:pStyle w:val="TableText"/>
            </w:pPr>
            <w:r>
              <w:t>0.4</w:t>
            </w:r>
          </w:p>
        </w:tc>
      </w:tr>
    </w:tbl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А.5 – Себестоимость с переносом на следующую страницу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293.60</w:t>
            </w:r>
          </w:p>
        </w:tc>
      </w:tr>
    </w:tbl>
    <w:p>
      <w:pPr>
        <w:keepNext/>
        <w:pageBreakBefore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Продолжение таблицы А.5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1501"/>
        <w:gridCol w:w="1501"/>
        <w:gridCol w:w="1501"/>
        <w:gridCol w:w="1501"/>
        <w:gridCol w:w="1501"/>
        <w:gridCol w:w="1501"/>
      </w:tblGrid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  <w:keepNext/>
            </w:pPr>
            <w:r>
              <w:t>№ п/п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Позиция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Выручка от реализации, тыс.руб.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Материальные затраты, факт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план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  <w:keepNext/>
            </w:pPr>
            <w:r>
              <w:t>Расходы на оплату труда, факт</w:t>
            </w:r>
          </w:p>
        </w:tc>
      </w:tr>
      <w:tr>
        <w:trPr>
          <w:cantSplit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1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2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3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4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5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6</w:t>
            </w:r>
          </w:p>
        </w:tc>
        <w:tc>
          <w:tcPr>
            <w:tcW w:type="dxa" w:w="1501"/>
            <w:tcBorders>
              <w:bottom w:val="double" w:sz="4" w:space="0" w:color="auto"/>
            </w:tcBorders>
            <w:vAlign w:val="center"/>
          </w:tcPr>
          <w:p>
            <w:pPr>
              <w:pStyle w:val="TableText"/>
              <w:keepNext/>
            </w:pPr>
            <w:r>
              <w:t>7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19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101.82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91.82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29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81.82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71.82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378.60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2.20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39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41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4741.0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-77.80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551.80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21.82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561.80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43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-97.80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571.80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44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ПГС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-107.80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581.80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45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Щебень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4341.0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-117.80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591.80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1.82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46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ЖБИ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4241.0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-127.80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601.80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448.60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47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Цемент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4141.0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611.80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Песок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4041.0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-147.80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621.80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458.60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49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ПАВ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3941.0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-157.80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631.80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-18.18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463.60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"/>
            </w:pPr>
            <w:r>
              <w:t>50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Бетон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3841.0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-167.80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641.80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-23.18</w:t>
            </w:r>
          </w:p>
        </w:tc>
        <w:tc>
          <w:tcPr>
            <w:tcW w:type="dxa" w:w="1501"/>
            <w:vAlign w:val="center"/>
          </w:tcPr>
          <w:p>
            <w:pPr>
              <w:pStyle w:val="TableText"/>
            </w:pPr>
            <w:r>
              <w:t>468.60</w:t>
            </w:r>
          </w:p>
        </w:tc>
      </w:tr>
    </w:tbl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Формулы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Кинетическая энергия вычисляется по формуле (А.1).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E</m:t>
              </m:r>
              <m:r>
                <m:t>=</m:t>
              </m:r>
              <m:f>
                <m:num>
                  <m:r>
                    <m:t>m</m:t>
                  </m:r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А.1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  <w:tab/>
        <w:t>m – масса тела, кг;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ab/>
        <w:t>v – скорость тела, м/с.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Ненумерованная формула идёт просто по центру:</w:t>
      </w:r>
    </w:p>
    <w:p>
      <w:pPr>
        <w:spacing w:line="240" w:lineRule="auto" w:before="280" w:after="280"/>
        <w:ind w:firstLine="0"/>
      </w:pPr>
      <m:oMathPara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Среднеквадратическое отклонение — вложенные радикал, дробь и сумма:</w:t>
      </w:r>
    </w:p>
    <w:p>
      <w:pPr>
        <w:keepNext/>
        <w:spacing w:line="240" w:lineRule="auto" w:before="280" w:after="0"/>
        <w:ind w:firstLine="0"/>
      </w:pPr>
      <m:oMathPara>
        <m:oMath>
          <m:eqArr>
            <m:eqArrPr>
              <m:maxDist m:val="1"/>
            </m:eqArrPr>
            <m:e>
              <m:r>
                <m:t>σ</m:t>
              </m:r>
              <m:r>
                <m:t>=</m:t>
              </m:r>
              <m:rad>
                <m:radPr>
                  <m:degHide m:val="on"/>
                </m:radPr>
                <m:deg/>
                <m:e>
                  <m:f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t>−</m:t>
                                  </m:r>
                                  <m:acc>
                                    <m:accPr>
                                      <m:chr m:val="̅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m:t>n</m:t>
                      </m:r>
                      <m:r>
                        <m:t>−</m:t>
                      </m:r>
                      <m:r>
                        <m:t>1</m:t>
                      </m:r>
                    </m:den>
                  </m:f>
                </m:e>
              </m:ra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А.2</m:t>
                  </m:r>
                </m:e>
              </m:d>
            </m:e>
          </m:eqArr>
        </m:oMath>
      </m:oMathPara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 xml:space="preserve">где </w:t>
        <w:tab/>
      </w:r>
      <w:r>
        <w:rPr>
          <w:rFonts w:ascii="Times New Roman" w:hAnsi="Times New Roman"/>
          <w:i/>
          <w:sz w:val="28"/>
        </w:rPr>
        <w:t>x</w:t>
      </w:r>
      <w:r>
        <w:rPr>
          <w:rFonts w:ascii="Times New Roman" w:hAnsi="Times New Roman"/>
          <w:sz w:val="28"/>
        </w:rPr>
        <w:t xml:space="preserve"> – значение отдельного измерения;</w:t>
      </w:r>
    </w:p>
    <w:p>
      <w:pPr>
        <w:spacing w:line="360" w:lineRule="auto" w:before="0" w:after="0"/>
        <w:ind w:firstLine="0"/>
        <w:jc w:val="both"/>
      </w:pPr>
      <w:r>
        <w:rPr>
          <w:rFonts w:ascii="Times New Roman" w:hAnsi="Times New Roman"/>
          <w:sz w:val="28"/>
        </w:rPr>
        <w:tab/>
        <w:t>n – объём выборки.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Матрица, система уравнений и индексы кириллицей:</w:t>
      </w:r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A</m:t>
              </m:r>
              <m:r>
                <m:t>=</m:t>
              </m:r>
              <m:d>
                <m:dPr>
                  <m:begChr m:val="("/>
                  <m:endChr m:val=")"/>
                </m:dPr>
                <m:e>
                  <m:m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А.3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r>
                <m:t>f</m:t>
              </m:r>
              <m:d>
                <m:dPr>
                  <m:begChr m:val="("/>
                  <m:endChr m:val=")"/>
                </m:dPr>
                <m:e>
                  <m:r>
                    <m:t>x</m:t>
                  </m:r>
                </m:e>
              </m:d>
              <m:r>
                <m:t>=</m:t>
              </m:r>
              <m:d>
                <m:dPr>
                  <m:begChr m:val="{"/>
                  <m:endChr m:val=""/>
                </m:dPr>
                <m:e>
                  <m:m>
                    <m:mPr>
                      <m:mcs>
                        <m:mc>
                          <m:mcPr>
                            <m:count m:val="2"/>
                            <m:mcJc m:val="left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t>≤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А.4</m:t>
                  </m:r>
                </m:e>
              </m:d>
            </m:e>
          </m:eqArr>
        </m:oMath>
      </m:oMathPara>
    </w:p>
    <w:p>
      <w:pPr>
        <w:spacing w:line="240" w:lineRule="auto" w:before="280" w:after="280"/>
        <w:ind w:firstLine="0"/>
      </w:pPr>
      <m:oMathPara>
        <m:oMath>
          <m:eqArr>
            <m:eqArrPr>
              <m:maxDist m:val="1"/>
            </m:eqArrPr>
            <m:e>
              <m:sSub>
                <m:e>
                  <m:r>
                    <m:t>K</m:t>
                  </m:r>
                </m:e>
                <m:sub>
                  <m:r>
                    <m:rPr>
                      <m:nor/>
                    </m:rPr>
                    <m:t>сум</m:t>
                  </m:r>
                </m:sub>
              </m:sSub>
              <m:r>
                <m:t>=</m:t>
              </m:r>
              <m:f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х</m:t>
                      </m:r>
                    </m:sub>
                  </m:sSub>
                </m:num>
                <m:den>
                  <m:sSub>
                    <m:e>
                      <m:r>
                        <m:t>P</m:t>
                      </m:r>
                    </m:e>
                    <m:sub>
                      <m:r>
                        <m:t>в</m:t>
                      </m:r>
                      <m:r>
                        <m:t>ы</m:t>
                      </m:r>
                      <m:r>
                        <m:t>х</m:t>
                      </m:r>
                    </m:sub>
                  </m:sSub>
                </m:den>
              </m:f>
              <m:r>
                <m:t>·</m:t>
              </m:r>
              <m:r>
                <m:t>100</m:t>
              </m:r>
              <m:r>
                <m:t>%</m:t>
              </m:r>
              <m:r>
                <m:t xml:space="preserve"> #</m:t>
              </m:r>
              <m:d>
                <m:e>
                  <m:r>
                    <m:rPr>
                      <m:nor/>
                    </m:rPr>
                    <m:t xml:space="preserve">А.5</m:t>
                  </m:r>
                </m:e>
              </m:d>
            </m:e>
          </m:eqArr>
        </m:oMath>
      </m:oMathPara>
    </w:p>
    <w:p>
      <w:pPr>
        <w:sectPr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открывает новый раздел на новой странице.</w:t>
      </w:r>
    </w:p>
    <w:p>
      <w:r>
        <w:br w:type="page"/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8"/>
        </w:rPr>
        <w:t>Этот абзац начинается с новой страницы того же раздела.</w:t>
      </w:r>
    </w:p>
    <w:p>
      <w:pPr>
        <w:pStyle w:val="Heading1"/>
        <w:spacing w:line="360" w:lineRule="auto" w:before="0" w:after="0"/>
        <w:ind w:firstLine="0"/>
        <w:jc w:val="center"/>
      </w:pPr>
      <w:r>
        <w:rPr>
          <w:rFonts w:ascii="Times New Roman" w:hAnsi="Times New Roman"/>
          <w:b/>
          <w:i w:val="0"/>
          <w:caps/>
          <w:color w:val="000000"/>
          <w:sz w:val="28"/>
        </w:rPr>
        <w:t>Настройка стилей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b/>
          <w:sz w:val="28"/>
        </w:rPr>
        <w:t>Таблица А.6 – Локальный стиль этой таблицы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cc949dc4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Параметр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  <w:keepNext/>
            </w:pPr>
            <w:r>
              <w:t>Значение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cc949dc4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Шрифт ячеек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16 pt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cc949dc4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Подпись</w:t>
            </w:r>
          </w:p>
        </w:tc>
        <w:tc>
          <w:tcPr>
            <w:tcW w:type="dxa" w:w="4504"/>
            <w:vAlign w:val="center"/>
          </w:tcPr>
          <w:p>
            <w:pPr>
              <w:pStyle w:val="TableTextcc949dc4"/>
            </w:pPr>
            <w:r>
              <w:t>жирная</w:t>
            </w:r>
          </w:p>
        </w:tc>
      </w:tr>
    </w:tbl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/>
          <w:sz w:val="20"/>
        </w:rPr>
        <w:t>После правки factory.style последующий обычный текст идёт шрифтом 10 pt.</w:t>
      </w:r>
    </w:p>
    <w:p>
      <w:pPr>
        <w:keepNext/>
        <w:spacing w:line="240" w:lineRule="auto" w:before="0" w:after="0"/>
        <w:ind w:firstLine="0"/>
        <w:jc w:val="left"/>
      </w:pPr>
      <w:r>
        <w:rPr>
          <w:rFonts w:ascii="Times New Roman" w:hAnsi="Times New Roman"/>
          <w:sz w:val="28"/>
        </w:rPr>
        <w:t>Таблица А.7 – Глобальный стиль: моноширинный шрифт в ячейках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4504"/>
        <w:gridCol w:w="4504"/>
      </w:tblGrid>
      <w:tr>
        <w:trPr>
          <w:cantSplit/>
          <w:tblHeader/>
        </w:trPr>
        <w:tc>
          <w:tcPr>
            <w:tcW w:type="dxa" w:w="680"/>
            <w:vAlign w:val="center"/>
          </w:tcPr>
          <w:p>
            <w:pPr>
              <w:pStyle w:val="TableTextbbe10661"/>
              <w:keepNext/>
            </w:pPr>
            <w:r>
              <w:t>№ п/п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Код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  <w:keepNext/>
            </w:pPr>
            <w:r>
              <w:t>Описание</w:t>
            </w:r>
          </w:p>
        </w:tc>
      </w:tr>
      <w:tr>
        <w:trPr>
          <w:cantSplit/>
          <w:tblHeader/>
        </w:trPr>
        <w:tc>
          <w:tcPr>
            <w:tcW w:type="dxa" w:w="680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1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2</w:t>
            </w:r>
          </w:p>
        </w:tc>
        <w:tc>
          <w:tcPr>
            <w:tcW w:type="dxa" w:w="4504"/>
            <w:tcBorders>
              <w:bottom w:val="double" w:sz="4" w:space="0" w:color="auto"/>
            </w:tcBorders>
            <w:vAlign w:val="center"/>
          </w:tcPr>
          <w:p>
            <w:pPr>
              <w:pStyle w:val="TableTextbbe10661"/>
              <w:keepNext/>
            </w:pPr>
            <w:r>
              <w:t>3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A1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первый</w:t>
            </w:r>
          </w:p>
        </w:tc>
      </w:tr>
      <w:tr>
        <w:trPr>
          <w:cantSplit/>
        </w:trPr>
        <w:tc>
          <w:tcPr>
            <w:tcW w:type="dxa" w:w="680"/>
            <w:vAlign w:val="center"/>
          </w:tcPr>
          <w:p>
            <w:pPr>
              <w:pStyle w:val="TableTextbbe10661"/>
            </w:pPr>
            <w:r>
              <w:t>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B2</w:t>
            </w:r>
          </w:p>
        </w:tc>
        <w:tc>
          <w:tcPr>
            <w:tcW w:type="dxa" w:w="4504"/>
            <w:vAlign w:val="center"/>
          </w:tcPr>
          <w:p>
            <w:pPr>
              <w:pStyle w:val="TableTextbbe10661"/>
            </w:pPr>
            <w:r>
              <w:t>второй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/>
      <w:jc w:val="both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 w:line="360" w:lineRule="auto"/>
      <w:ind w:firstLine="0"/>
      <w:jc w:val="center"/>
      <w:outlineLvl w:val="0"/>
    </w:pPr>
    <w:rPr>
      <w:rFonts w:ascii="Times New Roman" w:hAnsi="Times New Roman"/>
      <w:b/>
      <w:bCs/>
      <w:i w:val="0"/>
      <w:cap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1"/>
    </w:pPr>
    <w:rPr>
      <w:rFonts w:ascii="Times New Roman" w:hAnsi="Times New Roman"/>
      <w:b/>
      <w:bCs/>
      <w:i w:val="0"/>
      <w:caps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2"/>
    </w:pPr>
    <w:rPr>
      <w:rFonts w:ascii="Times New Roman" w:hAnsi="Times New Roman"/>
      <w:b/>
      <w:bCs/>
      <w:i w:val="0"/>
      <w:caps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3"/>
    </w:pPr>
    <w:rPr>
      <w:rFonts w:ascii="Times New Roman" w:hAnsi="Times New Roman"/>
      <w:b w:val="0"/>
      <w:bCs/>
      <w:i w:val="0"/>
      <w:iCs/>
      <w:caps w:val="0"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 w:line="360" w:lineRule="auto"/>
      <w:ind w:firstLine="709"/>
      <w:jc w:val="both"/>
      <w:outlineLvl w:val="4"/>
    </w:pPr>
    <w:rPr>
      <w:rFonts w:ascii="Times New Roman" w:hAnsi="Times New Roman"/>
      <w:b w:val="0"/>
      <w:i w:val="0"/>
      <w:caps w:val="0"/>
      <w:color w:val="000000"/>
      <w:sz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 Text"/>
    <w:pPr>
      <w:spacing w:before="0" w:after="0"/>
      <w:ind w:firstLine="0"/>
      <w:jc w:val="center"/>
    </w:pPr>
    <w:rPr>
      <w:rFonts w:ascii="Times New Roman" w:hAnsi="Times New Roman"/>
      <w:sz w:val="24"/>
    </w:rPr>
  </w:style>
  <w:style w:type="paragraph" w:customStyle="1" w:styleId="TableTextcc949dc4">
    <w:name w:val="Table Text cc949dc4"/>
    <w:pPr>
      <w:spacing w:before="0" w:after="0"/>
      <w:ind w:firstLine="0"/>
      <w:jc w:val="center"/>
    </w:pPr>
    <w:rPr>
      <w:rFonts w:ascii="Times New Roman" w:hAnsi="Times New Roman"/>
      <w:sz w:val="32"/>
    </w:rPr>
  </w:style>
  <w:style w:type="paragraph" w:customStyle="1" w:styleId="TableTextbbe10661">
    <w:name w:val="Table Text bbe10661"/>
    <w:pPr>
      <w:spacing w:before="0" w:after="0"/>
      <w:ind w:firstLine="0"/>
      <w:jc w:val="center"/>
    </w:pPr>
    <w:rPr>
      <w:rFonts w:ascii="Courier New" w:hAnsi="Courier New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